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E3C" w:rsidRDefault="009A1E3C" w:rsidP="009A1E3C">
      <w:pPr>
        <w:pStyle w:val="broodtekst"/>
        <w:jc w:val="right"/>
        <w:rPr>
          <w:b/>
        </w:rPr>
      </w:pPr>
      <w:bookmarkStart w:id="0" w:name="_GoBack"/>
      <w:bookmarkEnd w:id="0"/>
      <w:r>
        <w:rPr>
          <w:b/>
        </w:rPr>
        <w:t>Annex 6.5.1.</w:t>
      </w:r>
    </w:p>
    <w:p w:rsidR="009A1E3C" w:rsidRPr="008719C9" w:rsidRDefault="009A1E3C" w:rsidP="009A1E3C">
      <w:pPr>
        <w:pStyle w:val="broodtekst"/>
        <w:jc w:val="center"/>
        <w:rPr>
          <w:b/>
        </w:rPr>
      </w:pPr>
      <w:r w:rsidRPr="008719C9">
        <w:rPr>
          <w:b/>
        </w:rPr>
        <w:t>Detailed ac</w:t>
      </w:r>
      <w:r>
        <w:rPr>
          <w:b/>
        </w:rPr>
        <w:t>tion plan for fulfillment of ex-</w:t>
      </w:r>
      <w:r w:rsidRPr="008719C9">
        <w:rPr>
          <w:b/>
        </w:rPr>
        <w:t>ante conditionality 5.1. Risk prevention and risk management</w:t>
      </w:r>
      <w:r>
        <w:rPr>
          <w:b/>
        </w:rPr>
        <w:t xml:space="preserve">: </w:t>
      </w:r>
      <w:r w:rsidRPr="008719C9">
        <w:rPr>
          <w:b/>
        </w:rPr>
        <w:t>the existence of national or regional risk assessments for disaster management taking into account climate change adaptation</w:t>
      </w:r>
    </w:p>
    <w:p w:rsidR="009A1E3C" w:rsidRPr="00CC2D7A" w:rsidRDefault="009A1E3C" w:rsidP="009A1E3C">
      <w:pPr>
        <w:pStyle w:val="broodtekst"/>
      </w:pPr>
    </w:p>
    <w:tbl>
      <w:tblPr>
        <w:tblW w:w="153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7229"/>
        <w:gridCol w:w="1701"/>
        <w:gridCol w:w="1276"/>
      </w:tblGrid>
      <w:tr w:rsidR="009A1E3C" w:rsidRPr="00C768C5" w:rsidTr="00A13118">
        <w:trPr>
          <w:tblHeader/>
        </w:trPr>
        <w:tc>
          <w:tcPr>
            <w:tcW w:w="1135" w:type="dxa"/>
            <w:shd w:val="clear" w:color="auto" w:fill="D9D9D9"/>
          </w:tcPr>
          <w:p w:rsidR="009A1E3C" w:rsidRPr="00C768C5" w:rsidRDefault="009A1E3C" w:rsidP="00A13118">
            <w:pPr>
              <w:jc w:val="center"/>
              <w:rPr>
                <w:rFonts w:ascii="Calibri" w:hAnsi="Calibri"/>
                <w:b/>
                <w:sz w:val="20"/>
                <w:szCs w:val="20"/>
              </w:rPr>
            </w:pPr>
            <w:r w:rsidRPr="00C768C5">
              <w:rPr>
                <w:rFonts w:ascii="Calibri" w:hAnsi="Calibri"/>
                <w:b/>
                <w:sz w:val="20"/>
                <w:szCs w:val="20"/>
              </w:rPr>
              <w:t>Conditionality</w:t>
            </w:r>
          </w:p>
        </w:tc>
        <w:tc>
          <w:tcPr>
            <w:tcW w:w="3969" w:type="dxa"/>
            <w:shd w:val="clear" w:color="auto" w:fill="D9D9D9"/>
          </w:tcPr>
          <w:p w:rsidR="009A1E3C" w:rsidRPr="00C768C5" w:rsidRDefault="009A1E3C" w:rsidP="00A13118">
            <w:pPr>
              <w:jc w:val="center"/>
              <w:rPr>
                <w:rFonts w:ascii="Calibri" w:hAnsi="Calibri"/>
                <w:b/>
                <w:sz w:val="20"/>
                <w:szCs w:val="20"/>
              </w:rPr>
            </w:pPr>
            <w:r w:rsidRPr="00C768C5">
              <w:rPr>
                <w:rFonts w:ascii="Calibri" w:hAnsi="Calibri"/>
                <w:b/>
                <w:sz w:val="20"/>
                <w:szCs w:val="20"/>
              </w:rPr>
              <w:t>Unfulfille</w:t>
            </w:r>
            <w:r>
              <w:rPr>
                <w:rFonts w:ascii="Calibri" w:hAnsi="Calibri"/>
                <w:b/>
                <w:sz w:val="20"/>
                <w:szCs w:val="20"/>
              </w:rPr>
              <w:t>d/partially fulfilled criteria</w:t>
            </w:r>
          </w:p>
        </w:tc>
        <w:tc>
          <w:tcPr>
            <w:tcW w:w="7229" w:type="dxa"/>
            <w:shd w:val="clear" w:color="auto" w:fill="D9D9D9"/>
          </w:tcPr>
          <w:p w:rsidR="009A1E3C" w:rsidRPr="00C768C5" w:rsidRDefault="009A1E3C" w:rsidP="00A13118">
            <w:pPr>
              <w:jc w:val="center"/>
              <w:rPr>
                <w:rFonts w:ascii="Calibri" w:hAnsi="Calibri"/>
                <w:b/>
                <w:sz w:val="20"/>
                <w:szCs w:val="20"/>
              </w:rPr>
            </w:pPr>
            <w:r w:rsidRPr="00C768C5">
              <w:rPr>
                <w:rFonts w:ascii="Calibri" w:hAnsi="Calibri"/>
                <w:b/>
                <w:sz w:val="20"/>
                <w:szCs w:val="20"/>
              </w:rPr>
              <w:t>Action</w:t>
            </w:r>
            <w:r>
              <w:rPr>
                <w:rFonts w:ascii="Calibri" w:hAnsi="Calibri"/>
                <w:b/>
                <w:sz w:val="20"/>
                <w:szCs w:val="20"/>
              </w:rPr>
              <w:t>s taken to fulfill the criteria</w:t>
            </w:r>
          </w:p>
        </w:tc>
        <w:tc>
          <w:tcPr>
            <w:tcW w:w="1701" w:type="dxa"/>
            <w:shd w:val="clear" w:color="auto" w:fill="D9D9D9"/>
          </w:tcPr>
          <w:p w:rsidR="009A1E3C" w:rsidRPr="00C768C5" w:rsidRDefault="009A1E3C" w:rsidP="00A13118">
            <w:pPr>
              <w:jc w:val="center"/>
              <w:rPr>
                <w:rFonts w:ascii="Calibri" w:hAnsi="Calibri"/>
                <w:b/>
                <w:sz w:val="20"/>
                <w:szCs w:val="20"/>
              </w:rPr>
            </w:pPr>
            <w:r w:rsidRPr="00C768C5">
              <w:rPr>
                <w:rFonts w:ascii="Calibri" w:hAnsi="Calibri"/>
                <w:b/>
                <w:sz w:val="20"/>
                <w:szCs w:val="20"/>
              </w:rPr>
              <w:t>Deadlines</w:t>
            </w:r>
          </w:p>
        </w:tc>
        <w:tc>
          <w:tcPr>
            <w:tcW w:w="1276" w:type="dxa"/>
            <w:shd w:val="clear" w:color="auto" w:fill="D9D9D9"/>
          </w:tcPr>
          <w:p w:rsidR="009A1E3C" w:rsidRPr="00C768C5" w:rsidRDefault="009A1E3C" w:rsidP="00A13118">
            <w:pPr>
              <w:jc w:val="center"/>
              <w:rPr>
                <w:rFonts w:ascii="Calibri" w:hAnsi="Calibri"/>
                <w:b/>
                <w:sz w:val="20"/>
                <w:szCs w:val="20"/>
              </w:rPr>
            </w:pPr>
            <w:r w:rsidRPr="00C768C5">
              <w:rPr>
                <w:rFonts w:ascii="Calibri" w:hAnsi="Calibri"/>
                <w:b/>
                <w:sz w:val="20"/>
                <w:szCs w:val="20"/>
              </w:rPr>
              <w:t>Responsible body</w:t>
            </w:r>
          </w:p>
        </w:tc>
      </w:tr>
      <w:tr w:rsidR="009A1E3C" w:rsidRPr="00C768C5" w:rsidTr="00A13118">
        <w:tc>
          <w:tcPr>
            <w:tcW w:w="1135" w:type="dxa"/>
            <w:vMerge w:val="restart"/>
            <w:tcBorders>
              <w:top w:val="single" w:sz="4" w:space="0" w:color="auto"/>
              <w:left w:val="single" w:sz="4" w:space="0" w:color="auto"/>
              <w:right w:val="single" w:sz="4" w:space="0" w:color="auto"/>
            </w:tcBorders>
            <w:shd w:val="clear" w:color="auto" w:fill="auto"/>
            <w:textDirection w:val="btLr"/>
          </w:tcPr>
          <w:p w:rsidR="009A1E3C" w:rsidRPr="00C768C5" w:rsidRDefault="009A1E3C" w:rsidP="00A13118">
            <w:pPr>
              <w:widowControl w:val="0"/>
              <w:autoSpaceDE w:val="0"/>
              <w:autoSpaceDN w:val="0"/>
              <w:adjustRightInd w:val="0"/>
              <w:ind w:left="113" w:right="113"/>
              <w:jc w:val="center"/>
              <w:rPr>
                <w:rFonts w:ascii="Calibri" w:eastAsia="Calibri" w:hAnsi="Calibri"/>
                <w:i/>
                <w:iCs/>
                <w:sz w:val="20"/>
                <w:szCs w:val="20"/>
                <w:lang w:val="ro-RO"/>
              </w:rPr>
            </w:pPr>
            <w:r w:rsidRPr="00C768C5">
              <w:rPr>
                <w:rFonts w:ascii="Calibri" w:eastAsia="Calibri" w:hAnsi="Calibri"/>
                <w:i/>
                <w:iCs/>
                <w:sz w:val="20"/>
                <w:szCs w:val="20"/>
                <w:lang w:val="ro-RO"/>
              </w:rPr>
              <w:t>5.1. Risk prevention and risk management: the existence of national or regional risk assessments for disaster management taking into account climate change adaptation</w:t>
            </w:r>
          </w:p>
        </w:tc>
        <w:tc>
          <w:tcPr>
            <w:tcW w:w="3969" w:type="dxa"/>
            <w:vMerge w:val="restart"/>
            <w:tcBorders>
              <w:top w:val="single" w:sz="4" w:space="0" w:color="auto"/>
              <w:left w:val="single" w:sz="4" w:space="0" w:color="auto"/>
              <w:right w:val="single" w:sz="4" w:space="0" w:color="auto"/>
            </w:tcBorders>
            <w:shd w:val="clear" w:color="auto" w:fill="auto"/>
          </w:tcPr>
          <w:p w:rsidR="009A1E3C" w:rsidRPr="008719C9" w:rsidRDefault="009A1E3C" w:rsidP="00A13118">
            <w:pPr>
              <w:autoSpaceDE w:val="0"/>
              <w:autoSpaceDN w:val="0"/>
              <w:adjustRightInd w:val="0"/>
              <w:jc w:val="both"/>
              <w:rPr>
                <w:rFonts w:ascii="Calibri" w:eastAsia="Calibri" w:hAnsi="Calibri"/>
                <w:i/>
                <w:iCs/>
                <w:sz w:val="20"/>
                <w:szCs w:val="20"/>
                <w:lang w:val="ro-RO"/>
              </w:rPr>
            </w:pPr>
            <w:r w:rsidRPr="00C768C5">
              <w:rPr>
                <w:rFonts w:ascii="Calibri" w:eastAsia="Calibri" w:hAnsi="Calibri"/>
                <w:i/>
                <w:iCs/>
                <w:sz w:val="20"/>
                <w:szCs w:val="20"/>
                <w:lang w:val="ro-RO"/>
              </w:rPr>
              <w:t>A national or regional risk assessment with the following elements shall be in place:</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autoSpaceDE w:val="0"/>
              <w:autoSpaceDN w:val="0"/>
              <w:adjustRightInd w:val="0"/>
              <w:jc w:val="both"/>
              <w:rPr>
                <w:rFonts w:ascii="Calibri" w:hAnsi="Calibri"/>
                <w:i/>
                <w:color w:val="000000"/>
                <w:sz w:val="20"/>
                <w:szCs w:val="20"/>
                <w:lang w:val="ro-RO"/>
              </w:rPr>
            </w:pPr>
            <w:r w:rsidRPr="00ED1D7D">
              <w:rPr>
                <w:rFonts w:ascii="Calibri" w:hAnsi="Calibri"/>
                <w:color w:val="000000"/>
                <w:sz w:val="20"/>
                <w:szCs w:val="20"/>
                <w:lang w:val="ro-RO"/>
              </w:rPr>
              <w:t xml:space="preserve">Implementation of </w:t>
            </w:r>
            <w:r w:rsidRPr="0012066A">
              <w:rPr>
                <w:rFonts w:ascii="Calibri" w:hAnsi="Calibri"/>
                <w:color w:val="000000"/>
                <w:sz w:val="20"/>
                <w:szCs w:val="20"/>
                <w:lang w:val="ro-RO"/>
              </w:rPr>
              <w:t xml:space="preserve">the RO-RISK project, </w:t>
            </w:r>
            <w:r w:rsidRPr="00ED1D7D">
              <w:rPr>
                <w:rFonts w:ascii="Calibri" w:hAnsi="Calibri"/>
                <w:color w:val="000000"/>
                <w:sz w:val="20"/>
                <w:szCs w:val="20"/>
                <w:lang w:val="ro-RO"/>
              </w:rPr>
              <w:t>consisting in several activities answering to below criteria, which is to be finalised through:</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widowControl w:val="0"/>
              <w:contextualSpacing/>
              <w:rPr>
                <w:rFonts w:ascii="Calibri" w:eastAsia="Calibri" w:hAnsi="Calibri"/>
                <w:sz w:val="20"/>
                <w:szCs w:val="20"/>
                <w:lang w:val="ro-RO"/>
              </w:rPr>
            </w:pPr>
            <w:r w:rsidRPr="00ED1D7D">
              <w:rPr>
                <w:rFonts w:ascii="Calibri" w:eastAsia="Calibri" w:hAnsi="Calibri"/>
                <w:sz w:val="20"/>
                <w:szCs w:val="20"/>
                <w:lang w:val="ro-RO"/>
              </w:rPr>
              <w:t>2013-2016</w:t>
            </w:r>
          </w:p>
        </w:tc>
        <w:tc>
          <w:tcPr>
            <w:tcW w:w="1276"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autoSpaceDE w:val="0"/>
              <w:autoSpaceDN w:val="0"/>
              <w:adjustRightInd w:val="0"/>
              <w:jc w:val="both"/>
              <w:rPr>
                <w:rFonts w:ascii="Calibri" w:hAnsi="Calibri"/>
                <w:sz w:val="20"/>
                <w:szCs w:val="20"/>
                <w:lang w:val="ro-RO"/>
              </w:rPr>
            </w:pPr>
            <w:r>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i/>
                <w:iCs/>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7"/>
              </w:numPr>
              <w:autoSpaceDE w:val="0"/>
              <w:autoSpaceDN w:val="0"/>
              <w:adjustRightInd w:val="0"/>
              <w:jc w:val="both"/>
              <w:rPr>
                <w:rFonts w:ascii="Calibri" w:hAnsi="Calibri"/>
                <w:noProof w:val="0"/>
                <w:color w:val="000000"/>
                <w:sz w:val="20"/>
                <w:szCs w:val="20"/>
                <w:lang w:val="ro-RO"/>
              </w:rPr>
            </w:pPr>
            <w:r w:rsidRPr="006D114E">
              <w:rPr>
                <w:rFonts w:ascii="Calibri" w:hAnsi="Calibri"/>
                <w:i/>
                <w:noProof w:val="0"/>
                <w:color w:val="000000"/>
                <w:sz w:val="20"/>
                <w:szCs w:val="20"/>
                <w:lang w:val="ro-RO"/>
              </w:rPr>
              <w:t>Country Report on risk assessment</w:t>
            </w:r>
            <w:r>
              <w:rPr>
                <w:rFonts w:ascii="Calibri" w:hAnsi="Calibri"/>
                <w:i/>
                <w:noProof w:val="0"/>
                <w:color w:val="000000"/>
                <w:sz w:val="20"/>
                <w:szCs w:val="20"/>
                <w:lang w:val="ro-RO"/>
              </w:rPr>
              <w:t xml:space="preserve">, </w:t>
            </w:r>
            <w:r w:rsidRPr="00ED1D7D">
              <w:rPr>
                <w:rFonts w:ascii="Calibri" w:hAnsi="Calibri"/>
                <w:i/>
                <w:noProof w:val="0"/>
                <w:color w:val="000000"/>
                <w:sz w:val="20"/>
                <w:szCs w:val="20"/>
                <w:lang w:val="ro-RO"/>
              </w:rPr>
              <w:t xml:space="preserve">including the results of risk assessment, risk matrix, analysis of uncertainty, recommendations for disaster risk reduction </w:t>
            </w:r>
            <w:r w:rsidRPr="00ED1D7D">
              <w:rPr>
                <w:rFonts w:ascii="Calibri" w:hAnsi="Calibri"/>
                <w:noProof w:val="0"/>
                <w:color w:val="000000"/>
                <w:sz w:val="20"/>
                <w:szCs w:val="20"/>
                <w:lang w:val="ro-RO"/>
              </w:rPr>
              <w:t>and</w:t>
            </w:r>
            <w:r>
              <w:rPr>
                <w:rFonts w:ascii="Calibri" w:hAnsi="Calibri"/>
                <w:i/>
                <w:noProof w:val="0"/>
                <w:color w:val="000000"/>
                <w:sz w:val="20"/>
                <w:szCs w:val="20"/>
                <w:lang w:val="ro-RO"/>
              </w:rPr>
              <w:t xml:space="preserve"> p</w:t>
            </w:r>
            <w:r w:rsidRPr="00ED1D7D">
              <w:rPr>
                <w:rFonts w:ascii="Calibri" w:hAnsi="Calibri"/>
                <w:i/>
                <w:noProof w:val="0"/>
                <w:color w:val="000000"/>
                <w:sz w:val="20"/>
                <w:szCs w:val="20"/>
                <w:lang w:val="ro-RO"/>
              </w:rPr>
              <w:t>rioritisation of investements based on risk assessment, within the assessment of risk scenarios</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widowControl w:val="0"/>
              <w:contextualSpacing/>
              <w:rPr>
                <w:rFonts w:ascii="Calibri" w:eastAsia="Calibri" w:hAnsi="Calibri"/>
                <w:sz w:val="20"/>
                <w:szCs w:val="20"/>
                <w:lang w:val="ro-RO"/>
              </w:rPr>
            </w:pPr>
            <w:r>
              <w:rPr>
                <w:rFonts w:ascii="Calibri" w:eastAsia="Calibri" w:hAnsi="Calibri"/>
                <w:sz w:val="20"/>
                <w:szCs w:val="20"/>
                <w:lang w:val="ro-RO"/>
              </w:rPr>
              <w:t>November</w:t>
            </w:r>
            <w:r w:rsidRPr="00ED1D7D">
              <w:rPr>
                <w:rFonts w:ascii="Calibri" w:eastAsia="Calibri" w:hAnsi="Calibri"/>
                <w:sz w:val="20"/>
                <w:szCs w:val="20"/>
                <w:lang w:val="ro-RO"/>
              </w:rPr>
              <w:t xml:space="preserve"> 2016</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F6B5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i/>
                <w:iCs/>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autoSpaceDE w:val="0"/>
              <w:autoSpaceDN w:val="0"/>
              <w:adjustRightInd w:val="0"/>
              <w:ind w:left="0"/>
              <w:jc w:val="both"/>
              <w:rPr>
                <w:rFonts w:ascii="Calibri" w:hAnsi="Calibri"/>
                <w:noProof w:val="0"/>
                <w:color w:val="000000"/>
                <w:sz w:val="20"/>
                <w:szCs w:val="20"/>
                <w:lang w:val="ro-RO"/>
              </w:rPr>
            </w:pPr>
            <w:r w:rsidRPr="00ED1D7D">
              <w:rPr>
                <w:rFonts w:ascii="Calibri" w:hAnsi="Calibri"/>
                <w:noProof w:val="0"/>
                <w:color w:val="000000"/>
                <w:sz w:val="20"/>
                <w:szCs w:val="20"/>
                <w:lang w:val="ro-RO"/>
              </w:rPr>
              <w:t>Setting up the Department for Emergency Situation, the National Committee for Weather and Disasters and the National Committe for Special Emergency Situations</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widowControl w:val="0"/>
              <w:contextualSpacing/>
              <w:rPr>
                <w:rFonts w:ascii="Calibri" w:eastAsia="Calibri" w:hAnsi="Calibri"/>
                <w:sz w:val="20"/>
                <w:szCs w:val="20"/>
                <w:lang w:val="ro-RO"/>
              </w:rPr>
            </w:pPr>
            <w:r w:rsidRPr="00ED1D7D">
              <w:rPr>
                <w:rFonts w:ascii="Calibri" w:eastAsia="Calibri" w:hAnsi="Calibri"/>
                <w:sz w:val="20"/>
                <w:szCs w:val="20"/>
                <w:lang w:val="ro-RO"/>
              </w:rPr>
              <w:t>January 2014 / Fulfilled</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F6B5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i/>
                <w:iCs/>
                <w:sz w:val="20"/>
                <w:szCs w:val="20"/>
                <w:lang w:val="ro-RO"/>
              </w:rPr>
            </w:pPr>
          </w:p>
        </w:tc>
        <w:tc>
          <w:tcPr>
            <w:tcW w:w="3969" w:type="dxa"/>
            <w:vMerge/>
            <w:tcBorders>
              <w:left w:val="single" w:sz="4" w:space="0" w:color="auto"/>
              <w:bottom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autoSpaceDE w:val="0"/>
              <w:autoSpaceDN w:val="0"/>
              <w:adjustRightInd w:val="0"/>
              <w:ind w:left="0"/>
              <w:jc w:val="both"/>
              <w:rPr>
                <w:rFonts w:ascii="Calibri" w:hAnsi="Calibri"/>
                <w:noProof w:val="0"/>
                <w:color w:val="000000"/>
                <w:sz w:val="20"/>
                <w:szCs w:val="20"/>
                <w:lang w:val="ro-RO"/>
              </w:rPr>
            </w:pPr>
            <w:r w:rsidRPr="00ED1D7D">
              <w:rPr>
                <w:rFonts w:ascii="Calibri" w:hAnsi="Calibri"/>
                <w:noProof w:val="0"/>
                <w:color w:val="000000"/>
                <w:sz w:val="20"/>
                <w:szCs w:val="20"/>
                <w:lang w:val="ro-RO"/>
              </w:rPr>
              <w:t>Approving the national regulatory framework for the functioning of the National Platform for Disaster Risk Management, including GLERN</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widowControl w:val="0"/>
              <w:contextualSpacing/>
              <w:rPr>
                <w:rFonts w:ascii="Calibri" w:eastAsia="Calibri" w:hAnsi="Calibri"/>
                <w:sz w:val="20"/>
                <w:szCs w:val="20"/>
                <w:lang w:val="ro-RO"/>
              </w:rPr>
            </w:pPr>
            <w:r>
              <w:rPr>
                <w:rFonts w:ascii="Calibri" w:eastAsia="Calibri" w:hAnsi="Calibri"/>
                <w:sz w:val="20"/>
                <w:szCs w:val="20"/>
                <w:lang w:val="ro-RO"/>
              </w:rPr>
              <w:t xml:space="preserve">December </w:t>
            </w:r>
            <w:r w:rsidRPr="00ED1D7D">
              <w:rPr>
                <w:rFonts w:ascii="Calibri" w:eastAsia="Calibri" w:hAnsi="Calibri"/>
                <w:sz w:val="20"/>
                <w:szCs w:val="20"/>
                <w:lang w:val="ro-RO"/>
              </w:rPr>
              <w:t>2015</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F6B5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val="restart"/>
            <w:tcBorders>
              <w:top w:val="single" w:sz="4" w:space="0" w:color="auto"/>
              <w:left w:val="single" w:sz="4" w:space="0" w:color="auto"/>
              <w:right w:val="single" w:sz="4" w:space="0" w:color="auto"/>
            </w:tcBorders>
            <w:shd w:val="clear" w:color="auto" w:fill="auto"/>
          </w:tcPr>
          <w:p w:rsidR="009A1E3C" w:rsidRPr="00E0620F" w:rsidRDefault="009A1E3C" w:rsidP="00A13118">
            <w:pPr>
              <w:autoSpaceDE w:val="0"/>
              <w:autoSpaceDN w:val="0"/>
              <w:adjustRightInd w:val="0"/>
              <w:jc w:val="both"/>
              <w:rPr>
                <w:rFonts w:ascii="Calibri" w:eastAsia="Calibri" w:hAnsi="Calibri"/>
                <w:i/>
                <w:iCs/>
                <w:sz w:val="20"/>
                <w:szCs w:val="20"/>
                <w:lang w:val="ro-RO"/>
              </w:rPr>
            </w:pPr>
            <w:r w:rsidRPr="00C768C5">
              <w:rPr>
                <w:rFonts w:ascii="Calibri" w:eastAsia="Calibri" w:hAnsi="Calibri" w:cs="TimesNewRoman"/>
                <w:sz w:val="20"/>
                <w:szCs w:val="20"/>
                <w:lang w:val="ro-RO"/>
              </w:rPr>
              <w:t xml:space="preserve">– </w:t>
            </w:r>
            <w:r w:rsidRPr="00C768C5">
              <w:rPr>
                <w:rFonts w:ascii="Calibri" w:eastAsia="Calibri" w:hAnsi="Calibri"/>
                <w:i/>
                <w:iCs/>
                <w:sz w:val="20"/>
                <w:szCs w:val="20"/>
                <w:lang w:val="ro-RO"/>
              </w:rPr>
              <w:t>A description of the process, methodology, methods and non-sensitive data used for risk assessment as well as of the risk-based criteria for th</w:t>
            </w:r>
            <w:r>
              <w:rPr>
                <w:rFonts w:ascii="Calibri" w:eastAsia="Calibri" w:hAnsi="Calibri"/>
                <w:i/>
                <w:iCs/>
                <w:sz w:val="20"/>
                <w:szCs w:val="20"/>
                <w:lang w:val="ro-RO"/>
              </w:rPr>
              <w:t>e prioritisation of investment</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Study of legal, regulatory and institutional framework of risk management in Romania and the risk assessment, through a TA contract (Activity 1)</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tc>
      </w:tr>
      <w:tr w:rsidR="009A1E3C" w:rsidRPr="00C768C5" w:rsidTr="00A13118">
        <w:trPr>
          <w:trHeight w:val="334"/>
        </w:trPr>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6"/>
              </w:num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Launching tender for TA contract</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March</w:t>
            </w:r>
            <w:r w:rsidRPr="00ED1D7D">
              <w:rPr>
                <w:rFonts w:ascii="Calibri" w:eastAsia="Calibri" w:hAnsi="Calibri"/>
                <w:sz w:val="20"/>
                <w:szCs w:val="20"/>
                <w:lang w:val="ro-RO"/>
              </w:rPr>
              <w:t xml:space="preserve"> 201</w:t>
            </w:r>
            <w:r>
              <w:rPr>
                <w:rFonts w:ascii="Calibri" w:eastAsia="Calibri" w:hAnsi="Calibri"/>
                <w:sz w:val="20"/>
                <w:szCs w:val="20"/>
                <w:lang w:val="ro-RO"/>
              </w:rPr>
              <w:t>5</w:t>
            </w:r>
            <w:r w:rsidRPr="00ED1D7D">
              <w:rPr>
                <w:rFonts w:ascii="Calibri" w:eastAsia="Calibri" w:hAnsi="Calibri"/>
                <w:sz w:val="20"/>
                <w:szCs w:val="20"/>
                <w:lang w:val="ro-RO"/>
              </w:rPr>
              <w:t xml:space="preserve"> / Fulfilled</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213D24">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6"/>
              </w:num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Signing the TA contract</w:t>
            </w:r>
          </w:p>
        </w:tc>
        <w:tc>
          <w:tcPr>
            <w:tcW w:w="1701" w:type="dxa"/>
            <w:tcBorders>
              <w:top w:val="single" w:sz="4" w:space="0" w:color="auto"/>
              <w:left w:val="single" w:sz="4" w:space="0" w:color="auto"/>
              <w:bottom w:val="single" w:sz="4" w:space="0" w:color="auto"/>
              <w:right w:val="single" w:sz="4" w:space="0" w:color="auto"/>
            </w:tcBorders>
          </w:tcPr>
          <w:p w:rsidR="009A1E3C"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May</w:t>
            </w:r>
            <w:r w:rsidRPr="00ED1D7D">
              <w:rPr>
                <w:rFonts w:ascii="Calibri" w:eastAsia="Calibri" w:hAnsi="Calibri"/>
                <w:sz w:val="20"/>
                <w:szCs w:val="20"/>
                <w:lang w:val="ro-RO"/>
              </w:rPr>
              <w:t xml:space="preserve"> 2015</w:t>
            </w:r>
            <w:r>
              <w:rPr>
                <w:rFonts w:ascii="Calibri" w:eastAsia="Calibri" w:hAnsi="Calibri"/>
                <w:sz w:val="20"/>
                <w:szCs w:val="20"/>
                <w:lang w:val="ro-RO"/>
              </w:rPr>
              <w:t>/</w:t>
            </w:r>
          </w:p>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Fulfilled</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213D24">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6"/>
              </w:num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Delivering the Study, including a set of legal and institutional measures to be approved by GLERN</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October</w:t>
            </w:r>
            <w:r w:rsidRPr="00ED1D7D">
              <w:rPr>
                <w:rFonts w:ascii="Calibri" w:eastAsia="Calibri" w:hAnsi="Calibri"/>
                <w:sz w:val="20"/>
                <w:szCs w:val="20"/>
                <w:lang w:val="ro-RO"/>
              </w:rPr>
              <w:t xml:space="preserve"> 2015</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213D24">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Develop and implement national risk assessment methodology, through a TA contract (Activity 2)</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6"/>
              </w:num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Signing the TA contract</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rPr>
                <w:rFonts w:ascii="Calibri" w:eastAsia="Calibri" w:hAnsi="Calibri"/>
                <w:sz w:val="20"/>
                <w:szCs w:val="20"/>
                <w:lang w:val="ro-RO"/>
              </w:rPr>
            </w:pPr>
            <w:r w:rsidRPr="00ED1D7D">
              <w:rPr>
                <w:rFonts w:ascii="Calibri" w:eastAsia="Calibri" w:hAnsi="Calibri"/>
                <w:sz w:val="20"/>
                <w:szCs w:val="20"/>
                <w:lang w:val="ro-RO"/>
              </w:rPr>
              <w:t>October 2014 / Fulfilled</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A479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6"/>
              </w:num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Delivery of the first draft of the methodology to be used in the risk assessment</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February</w:t>
            </w:r>
            <w:r w:rsidRPr="00ED1D7D">
              <w:rPr>
                <w:rFonts w:ascii="Calibri" w:eastAsia="Calibri" w:hAnsi="Calibri"/>
                <w:sz w:val="20"/>
                <w:szCs w:val="20"/>
                <w:lang w:val="ro-RO"/>
              </w:rPr>
              <w:t xml:space="preserve"> 2015/ Fulfilled</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pPr>
              <w:rPr>
                <w:rFonts w:ascii="Calibri" w:hAnsi="Calibri"/>
                <w:sz w:val="20"/>
                <w:szCs w:val="20"/>
                <w:lang w:val="ro-RO"/>
              </w:rPr>
            </w:pPr>
            <w:r w:rsidRPr="005A4798">
              <w:rPr>
                <w:rFonts w:ascii="Calibri" w:hAnsi="Calibri"/>
                <w:sz w:val="20"/>
                <w:szCs w:val="20"/>
                <w:lang w:val="ro-RO"/>
              </w:rPr>
              <w:t>MIA / GIES</w:t>
            </w:r>
          </w:p>
          <w:p w:rsidR="009A1E3C" w:rsidRPr="00CF2990" w:rsidRDefault="009A1E3C" w:rsidP="00A13118"/>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6"/>
              </w:num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Finalising the methodology based on feed-back after the application of the methodology</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November</w:t>
            </w:r>
            <w:r w:rsidRPr="00ED1D7D">
              <w:rPr>
                <w:rFonts w:ascii="Calibri" w:eastAsia="Calibri" w:hAnsi="Calibri"/>
                <w:sz w:val="20"/>
                <w:szCs w:val="20"/>
                <w:lang w:val="ro-RO"/>
              </w:rPr>
              <w:t xml:space="preserve"> 2016</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A479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Study on acceptable risk in Romania, through a TA contract (Activity 2)</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A479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5"/>
              </w:numPr>
              <w:autoSpaceDE w:val="0"/>
              <w:autoSpaceDN w:val="0"/>
              <w:adjustRightInd w:val="0"/>
              <w:ind w:left="601" w:hanging="284"/>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Signing TA contract</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sidRPr="00ED1D7D">
              <w:rPr>
                <w:rFonts w:ascii="Calibri" w:eastAsia="Calibri" w:hAnsi="Calibri"/>
                <w:sz w:val="20"/>
                <w:szCs w:val="20"/>
                <w:lang w:val="ro-RO"/>
              </w:rPr>
              <w:t xml:space="preserve">September 2014 / </w:t>
            </w:r>
            <w:r w:rsidRPr="00ED1D7D">
              <w:rPr>
                <w:rFonts w:ascii="Calibri" w:eastAsia="Calibri" w:hAnsi="Calibri"/>
                <w:sz w:val="20"/>
                <w:szCs w:val="20"/>
                <w:lang w:val="ro-RO"/>
              </w:rPr>
              <w:lastRenderedPageBreak/>
              <w:t>Fulfilled</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5A4798">
              <w:rPr>
                <w:rFonts w:ascii="Calibri" w:hAnsi="Calibri"/>
                <w:sz w:val="20"/>
                <w:szCs w:val="20"/>
                <w:lang w:val="ro-RO"/>
              </w:rPr>
              <w:lastRenderedPageBreak/>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bottom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5"/>
              </w:numPr>
              <w:autoSpaceDE w:val="0"/>
              <w:autoSpaceDN w:val="0"/>
              <w:adjustRightInd w:val="0"/>
              <w:ind w:left="601" w:hanging="284"/>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Delivering the Study on acceptable risk in Romania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r w:rsidRPr="009A1E3C">
              <w:rPr>
                <w:rFonts w:ascii="Calibri" w:eastAsia="Calibri" w:hAnsi="Calibri"/>
                <w:sz w:val="20"/>
                <w:szCs w:val="20"/>
                <w:lang w:val="ro-RO"/>
              </w:rPr>
              <w:t>April 2015/ Fulfilled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A1E3C" w:rsidRDefault="009A1E3C" w:rsidP="00A13118">
            <w:r w:rsidRPr="005A4798">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val="restart"/>
            <w:tcBorders>
              <w:top w:val="single" w:sz="4" w:space="0" w:color="auto"/>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autoSpaceDE w:val="0"/>
              <w:autoSpaceDN w:val="0"/>
              <w:adjustRightInd w:val="0"/>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Setting up the database with risk exposure and response capabilities and the development of WebGIS application and GIS portal (Activity 3):</w:t>
            </w:r>
          </w:p>
        </w:tc>
        <w:tc>
          <w:tcPr>
            <w:tcW w:w="1701"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5"/>
              </w:numPr>
              <w:autoSpaceDE w:val="0"/>
              <w:autoSpaceDN w:val="0"/>
              <w:adjustRightInd w:val="0"/>
              <w:ind w:left="601" w:hanging="284"/>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Launching tender for development of the database and GIS portal</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Pr>
                <w:rFonts w:ascii="Calibri" w:eastAsia="Calibri" w:hAnsi="Calibri"/>
                <w:sz w:val="20"/>
                <w:szCs w:val="20"/>
                <w:lang w:val="ro-RO"/>
              </w:rPr>
              <w:t>February</w:t>
            </w:r>
            <w:r w:rsidRPr="00ED1D7D">
              <w:rPr>
                <w:rFonts w:ascii="Calibri" w:eastAsia="Calibri" w:hAnsi="Calibri"/>
                <w:sz w:val="20"/>
                <w:szCs w:val="20"/>
                <w:lang w:val="ro-RO"/>
              </w:rPr>
              <w:t xml:space="preserve"> 201</w:t>
            </w:r>
            <w:r>
              <w:rPr>
                <w:rFonts w:ascii="Calibri" w:eastAsia="Calibri" w:hAnsi="Calibri"/>
                <w:sz w:val="20"/>
                <w:szCs w:val="20"/>
                <w:lang w:val="ro-RO"/>
              </w:rPr>
              <w:t>5</w:t>
            </w:r>
            <w:r w:rsidRPr="00ED1D7D">
              <w:rPr>
                <w:rFonts w:ascii="Calibri" w:eastAsia="Calibri" w:hAnsi="Calibri"/>
                <w:sz w:val="20"/>
                <w:szCs w:val="20"/>
                <w:lang w:val="ro-RO"/>
              </w:rPr>
              <w:t xml:space="preserve"> / Fulfilled</w:t>
            </w:r>
            <w:r w:rsidRPr="00ED1D7D" w:rsidDel="00CD67F4">
              <w:rPr>
                <w:rFonts w:ascii="Calibri" w:eastAsia="Calibri" w:hAnsi="Calibri"/>
                <w:sz w:val="20"/>
                <w:szCs w:val="20"/>
                <w:lang w:val="ro-RO"/>
              </w:rPr>
              <w:t xml:space="preserve"> </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0E5211">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9A1E3C" w:rsidRPr="00ED1D7D" w:rsidRDefault="009A1E3C" w:rsidP="00A13118">
            <w:pPr>
              <w:pStyle w:val="ListParagraph"/>
              <w:numPr>
                <w:ilvl w:val="0"/>
                <w:numId w:val="15"/>
              </w:numPr>
              <w:autoSpaceDE w:val="0"/>
              <w:autoSpaceDN w:val="0"/>
              <w:adjustRightInd w:val="0"/>
              <w:ind w:left="601" w:hanging="284"/>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Signing contract for development of the database and GIS portal</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sidRPr="00D0715A">
              <w:rPr>
                <w:rFonts w:ascii="Calibri" w:eastAsia="Calibri" w:hAnsi="Calibri"/>
                <w:sz w:val="20"/>
                <w:szCs w:val="20"/>
                <w:lang w:val="ro-RO"/>
              </w:rPr>
              <w:t>July 2015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9A1E3C" w:rsidRDefault="009A1E3C" w:rsidP="00A13118">
            <w:r w:rsidRPr="000E5211">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vMerge/>
            <w:tcBorders>
              <w:left w:val="single" w:sz="4" w:space="0" w:color="auto"/>
              <w:bottom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5"/>
              </w:numPr>
              <w:autoSpaceDE w:val="0"/>
              <w:autoSpaceDN w:val="0"/>
              <w:adjustRightInd w:val="0"/>
              <w:ind w:left="601" w:hanging="284"/>
              <w:jc w:val="both"/>
              <w:rPr>
                <w:rFonts w:ascii="Calibri" w:eastAsia="Calibri" w:hAnsi="Calibri"/>
                <w:color w:val="000000"/>
                <w:sz w:val="20"/>
                <w:szCs w:val="20"/>
                <w:lang w:val="ro-RO"/>
              </w:rPr>
            </w:pPr>
            <w:r w:rsidRPr="00ED1D7D">
              <w:rPr>
                <w:rFonts w:ascii="Calibri" w:eastAsia="Calibri" w:hAnsi="Calibri"/>
                <w:color w:val="000000"/>
                <w:sz w:val="20"/>
                <w:szCs w:val="20"/>
                <w:lang w:val="ro-RO"/>
              </w:rPr>
              <w:t xml:space="preserve">Development of the database and GIS portal and provision of necessary IT equipment and software </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rPr>
                <w:rFonts w:ascii="Calibri" w:eastAsia="Calibri" w:hAnsi="Calibri"/>
                <w:sz w:val="20"/>
                <w:szCs w:val="20"/>
                <w:lang w:val="ro-RO"/>
              </w:rPr>
            </w:pPr>
            <w:r w:rsidRPr="00ED1D7D">
              <w:rPr>
                <w:rFonts w:ascii="Calibri" w:eastAsia="Calibri" w:hAnsi="Calibri"/>
                <w:sz w:val="20"/>
                <w:szCs w:val="20"/>
                <w:lang w:val="ro-RO"/>
              </w:rPr>
              <w:t>July 2016</w:t>
            </w:r>
          </w:p>
        </w:tc>
        <w:tc>
          <w:tcPr>
            <w:tcW w:w="1276"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r>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3969" w:type="dxa"/>
            <w:vMerge w:val="restart"/>
            <w:tcBorders>
              <w:top w:val="single" w:sz="4" w:space="0" w:color="auto"/>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r w:rsidRPr="00C768C5">
              <w:rPr>
                <w:rFonts w:ascii="Calibri" w:eastAsia="Calibri" w:hAnsi="Calibri" w:cs="TimesNewRoman"/>
                <w:sz w:val="20"/>
                <w:szCs w:val="20"/>
                <w:lang w:val="ro-RO"/>
              </w:rPr>
              <w:t xml:space="preserve">‒ </w:t>
            </w:r>
            <w:r w:rsidRPr="00C768C5">
              <w:rPr>
                <w:rFonts w:ascii="Calibri" w:eastAsia="Calibri" w:hAnsi="Calibri"/>
                <w:i/>
                <w:iCs/>
                <w:sz w:val="20"/>
                <w:szCs w:val="20"/>
                <w:lang w:val="ro-RO"/>
              </w:rPr>
              <w:t>A description of single-risk and multi-risk scenarios.</w:t>
            </w:r>
          </w:p>
          <w:p w:rsidR="009A1E3C" w:rsidRPr="00C768C5" w:rsidRDefault="009A1E3C" w:rsidP="00A13118">
            <w:pPr>
              <w:pStyle w:val="ListParagraph"/>
              <w:widowControl w:val="0"/>
              <w:autoSpaceDE w:val="0"/>
              <w:autoSpaceDN w:val="0"/>
              <w:adjustRightInd w:val="0"/>
              <w:ind w:left="708"/>
              <w:jc w:val="both"/>
              <w:rPr>
                <w:rFonts w:ascii="Calibri" w:eastAsia="Calibri" w:hAnsi="Calibri"/>
                <w:i/>
                <w:iCs/>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9A1E3C" w:rsidRDefault="009A1E3C" w:rsidP="00A13118">
            <w:pPr>
              <w:autoSpaceDE w:val="0"/>
              <w:autoSpaceDN w:val="0"/>
              <w:adjustRightInd w:val="0"/>
              <w:jc w:val="both"/>
              <w:rPr>
                <w:rFonts w:ascii="Calibri" w:eastAsia="Calibri" w:hAnsi="Calibri"/>
                <w:noProof/>
                <w:sz w:val="20"/>
                <w:szCs w:val="20"/>
                <w:lang w:val="ro-RO"/>
              </w:rPr>
            </w:pPr>
            <w:r w:rsidRPr="009A1E3C">
              <w:rPr>
                <w:rFonts w:ascii="Calibri" w:eastAsia="Calibri" w:hAnsi="Calibri"/>
                <w:sz w:val="20"/>
                <w:szCs w:val="20"/>
                <w:lang w:val="ro-RO"/>
              </w:rPr>
              <w:t>Description and assessment of representative risk scenarios to be carried out for each of the following nine risks: floods, drought, forest fires, earthquakes, landslides, Seveso accidents, accidents during the transport of dangerous goods, nuclear accidents, epidemics and zoonotic disease, based on the national risk assessment methodology, through a project developed under OPAC (Activity 4):</w:t>
            </w:r>
          </w:p>
        </w:tc>
        <w:tc>
          <w:tcPr>
            <w:tcW w:w="1701"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jc w:val="both"/>
              <w:rPr>
                <w:rFonts w:ascii="Calibri" w:hAnsi="Calibri"/>
                <w:sz w:val="20"/>
                <w:szCs w:val="20"/>
                <w:lang w:val="ro-RO"/>
              </w:rPr>
            </w:pP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3969"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9A1E3C" w:rsidRDefault="009A1E3C" w:rsidP="00A13118">
            <w:pPr>
              <w:pStyle w:val="ListParagraph"/>
              <w:numPr>
                <w:ilvl w:val="0"/>
                <w:numId w:val="15"/>
              </w:numPr>
              <w:autoSpaceDE w:val="0"/>
              <w:autoSpaceDN w:val="0"/>
              <w:adjustRightInd w:val="0"/>
              <w:ind w:left="601" w:hanging="284"/>
              <w:jc w:val="both"/>
              <w:rPr>
                <w:rFonts w:ascii="Calibri" w:eastAsia="Calibri" w:hAnsi="Calibri"/>
                <w:sz w:val="20"/>
                <w:szCs w:val="20"/>
                <w:lang w:val="ro-RO"/>
              </w:rPr>
            </w:pPr>
            <w:r w:rsidRPr="009A1E3C">
              <w:rPr>
                <w:rFonts w:ascii="Calibri" w:eastAsia="Calibri" w:hAnsi="Calibri"/>
                <w:sz w:val="20"/>
                <w:szCs w:val="20"/>
                <w:lang w:val="ro-RO"/>
              </w:rPr>
              <w:t>Developing and approving the project under OPAC</w:t>
            </w:r>
          </w:p>
        </w:tc>
        <w:tc>
          <w:tcPr>
            <w:tcW w:w="1701"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r w:rsidRPr="009A1E3C">
              <w:rPr>
                <w:rFonts w:ascii="Calibri" w:eastAsia="Calibri" w:hAnsi="Calibri"/>
                <w:sz w:val="20"/>
                <w:szCs w:val="20"/>
                <w:lang w:val="ro-RO"/>
              </w:rPr>
              <w:t>August 2015</w:t>
            </w:r>
          </w:p>
        </w:tc>
        <w:tc>
          <w:tcPr>
            <w:tcW w:w="1276"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rPr>
                <w:rFonts w:ascii="Calibri" w:hAnsi="Calibri"/>
                <w:sz w:val="20"/>
                <w:szCs w:val="20"/>
                <w:lang w:val="ro-RO"/>
              </w:rPr>
            </w:pPr>
            <w:r w:rsidRPr="009A1E3C">
              <w:rPr>
                <w:rFonts w:ascii="Calibri" w:hAnsi="Calibri"/>
                <w:sz w:val="20"/>
                <w:szCs w:val="20"/>
                <w:lang w:val="ro-RO"/>
              </w:rPr>
              <w:t>MIA / GIES</w:t>
            </w:r>
          </w:p>
          <w:p w:rsidR="009A1E3C" w:rsidRPr="009A1E3C" w:rsidRDefault="009A1E3C" w:rsidP="00A13118"/>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3969" w:type="dxa"/>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9A1E3C" w:rsidRDefault="009A1E3C" w:rsidP="00A13118">
            <w:pPr>
              <w:pStyle w:val="ListParagraph"/>
              <w:numPr>
                <w:ilvl w:val="0"/>
                <w:numId w:val="15"/>
              </w:numPr>
              <w:autoSpaceDE w:val="0"/>
              <w:autoSpaceDN w:val="0"/>
              <w:adjustRightInd w:val="0"/>
              <w:ind w:left="601" w:hanging="284"/>
              <w:jc w:val="both"/>
              <w:rPr>
                <w:rFonts w:ascii="Calibri" w:eastAsia="Calibri" w:hAnsi="Calibri"/>
                <w:sz w:val="20"/>
                <w:szCs w:val="20"/>
                <w:lang w:val="ro-RO"/>
              </w:rPr>
            </w:pPr>
            <w:r w:rsidRPr="009A1E3C">
              <w:rPr>
                <w:rFonts w:ascii="Calibri" w:eastAsia="Calibri" w:hAnsi="Calibri"/>
                <w:sz w:val="20"/>
                <w:szCs w:val="20"/>
                <w:lang w:val="ro-RO"/>
              </w:rPr>
              <w:t>Starting project activities</w:t>
            </w:r>
          </w:p>
        </w:tc>
        <w:tc>
          <w:tcPr>
            <w:tcW w:w="1701"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r w:rsidRPr="009A1E3C">
              <w:rPr>
                <w:rFonts w:ascii="Calibri" w:eastAsia="Calibri" w:hAnsi="Calibri"/>
                <w:sz w:val="20"/>
                <w:szCs w:val="20"/>
                <w:lang w:val="ro-RO"/>
              </w:rPr>
              <w:t>September 2015</w:t>
            </w:r>
          </w:p>
        </w:tc>
        <w:tc>
          <w:tcPr>
            <w:tcW w:w="1276"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rPr>
                <w:rFonts w:ascii="Calibri" w:hAnsi="Calibri"/>
                <w:sz w:val="20"/>
                <w:szCs w:val="20"/>
                <w:lang w:val="ro-RO"/>
              </w:rPr>
            </w:pP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3969" w:type="dxa"/>
            <w:vMerge w:val="restart"/>
            <w:tcBorders>
              <w:top w:val="single" w:sz="4" w:space="0" w:color="auto"/>
              <w:left w:val="single" w:sz="4" w:space="0" w:color="auto"/>
              <w:right w:val="single" w:sz="4" w:space="0" w:color="auto"/>
            </w:tcBorders>
            <w:shd w:val="clear" w:color="auto" w:fill="auto"/>
          </w:tcPr>
          <w:p w:rsidR="009A1E3C" w:rsidRPr="00A82764" w:rsidRDefault="009A1E3C" w:rsidP="00A13118">
            <w:pPr>
              <w:pStyle w:val="ListParagraph"/>
              <w:widowControl w:val="0"/>
              <w:numPr>
                <w:ilvl w:val="0"/>
                <w:numId w:val="14"/>
              </w:numPr>
              <w:autoSpaceDE w:val="0"/>
              <w:autoSpaceDN w:val="0"/>
              <w:adjustRightInd w:val="0"/>
              <w:ind w:left="459" w:hanging="141"/>
              <w:jc w:val="both"/>
              <w:rPr>
                <w:rFonts w:ascii="Calibri" w:eastAsia="Calibri" w:hAnsi="Calibri" w:cs="TimesNewRoman"/>
                <w:sz w:val="20"/>
                <w:szCs w:val="20"/>
                <w:lang w:val="ro-RO"/>
              </w:rPr>
            </w:pPr>
            <w:r w:rsidRPr="00C768C5">
              <w:rPr>
                <w:rFonts w:ascii="Calibri" w:eastAsia="Calibri" w:hAnsi="Calibri" w:cs="TimesNewRoman"/>
                <w:sz w:val="20"/>
                <w:szCs w:val="20"/>
                <w:lang w:val="ro-RO"/>
              </w:rPr>
              <w:t>Single-risk and multi-risk scenarios have been elaborated</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9A1E3C" w:rsidRDefault="009A1E3C" w:rsidP="00A13118">
            <w:pPr>
              <w:pStyle w:val="ListParagraph"/>
              <w:numPr>
                <w:ilvl w:val="0"/>
                <w:numId w:val="15"/>
              </w:numPr>
              <w:autoSpaceDE w:val="0"/>
              <w:autoSpaceDN w:val="0"/>
              <w:adjustRightInd w:val="0"/>
              <w:ind w:left="601" w:hanging="284"/>
              <w:jc w:val="both"/>
              <w:rPr>
                <w:rFonts w:ascii="Calibri" w:eastAsia="Calibri" w:hAnsi="Calibri"/>
                <w:sz w:val="20"/>
                <w:szCs w:val="20"/>
                <w:lang w:val="ro-RO"/>
              </w:rPr>
            </w:pPr>
            <w:r w:rsidRPr="009A1E3C">
              <w:rPr>
                <w:rFonts w:ascii="Calibri" w:eastAsia="Calibri" w:hAnsi="Calibri"/>
                <w:sz w:val="20"/>
                <w:szCs w:val="20"/>
                <w:lang w:val="ro-RO"/>
              </w:rPr>
              <w:t>Identification of representative risk scenarios and prioritization of these scenarios in accordance with the criteria established by the methodology / Hazard analysis</w:t>
            </w:r>
          </w:p>
        </w:tc>
        <w:tc>
          <w:tcPr>
            <w:tcW w:w="1701"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r w:rsidRPr="009A1E3C">
              <w:rPr>
                <w:rFonts w:ascii="Calibri" w:eastAsia="Calibri" w:hAnsi="Calibri"/>
                <w:sz w:val="20"/>
                <w:szCs w:val="20"/>
                <w:lang w:val="ro-RO"/>
              </w:rPr>
              <w:t xml:space="preserve">February 2016 </w:t>
            </w:r>
          </w:p>
          <w:p w:rsidR="009A1E3C" w:rsidRPr="009A1E3C" w:rsidRDefault="009A1E3C" w:rsidP="00A13118">
            <w:pPr>
              <w:keepNext/>
              <w:widowControl w:val="0"/>
              <w:tabs>
                <w:tab w:val="left" w:pos="0"/>
              </w:tabs>
              <w:spacing w:before="60" w:after="60"/>
              <w:rPr>
                <w:rFonts w:ascii="Calibri" w:eastAsia="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Pr="009A1E3C" w:rsidRDefault="009A1E3C" w:rsidP="00A13118">
            <w:r w:rsidRPr="009A1E3C">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3969" w:type="dxa"/>
            <w:vMerge/>
            <w:tcBorders>
              <w:left w:val="single" w:sz="4" w:space="0" w:color="auto"/>
              <w:bottom w:val="single" w:sz="4" w:space="0" w:color="auto"/>
              <w:right w:val="single" w:sz="4" w:space="0" w:color="auto"/>
            </w:tcBorders>
            <w:shd w:val="clear" w:color="auto" w:fill="auto"/>
          </w:tcPr>
          <w:p w:rsidR="009A1E3C" w:rsidRPr="00C768C5" w:rsidRDefault="009A1E3C" w:rsidP="00A13118">
            <w:pPr>
              <w:autoSpaceDE w:val="0"/>
              <w:autoSpaceDN w:val="0"/>
              <w:adjustRightInd w:val="0"/>
              <w:ind w:left="459" w:hanging="141"/>
              <w:jc w:val="both"/>
              <w:rPr>
                <w:rFonts w:ascii="Calibri" w:eastAsia="Calibri" w:hAnsi="Calibri" w:cs="TimesNewRoman"/>
                <w:sz w:val="20"/>
                <w:szCs w:val="20"/>
                <w:lang w:val="ro-RO"/>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9A1E3C" w:rsidRDefault="009A1E3C" w:rsidP="00A13118">
            <w:pPr>
              <w:pStyle w:val="ListParagraph"/>
              <w:numPr>
                <w:ilvl w:val="0"/>
                <w:numId w:val="15"/>
              </w:numPr>
              <w:autoSpaceDE w:val="0"/>
              <w:autoSpaceDN w:val="0"/>
              <w:adjustRightInd w:val="0"/>
              <w:ind w:left="601" w:hanging="284"/>
              <w:jc w:val="both"/>
              <w:rPr>
                <w:rFonts w:ascii="Calibri" w:eastAsia="Calibri" w:hAnsi="Calibri"/>
                <w:sz w:val="20"/>
                <w:szCs w:val="20"/>
                <w:lang w:val="ro-RO"/>
              </w:rPr>
            </w:pPr>
            <w:r w:rsidRPr="009A1E3C">
              <w:rPr>
                <w:rFonts w:ascii="Calibri" w:eastAsia="Calibri" w:hAnsi="Calibri"/>
                <w:sz w:val="20"/>
                <w:szCs w:val="20"/>
                <w:lang w:val="ro-RO"/>
              </w:rPr>
              <w:t>Risk scenario assessment for each type of risk</w:t>
            </w:r>
          </w:p>
        </w:tc>
        <w:tc>
          <w:tcPr>
            <w:tcW w:w="1701" w:type="dxa"/>
            <w:tcBorders>
              <w:top w:val="single" w:sz="4" w:space="0" w:color="auto"/>
              <w:left w:val="single" w:sz="4" w:space="0" w:color="auto"/>
              <w:bottom w:val="single" w:sz="4" w:space="0" w:color="auto"/>
              <w:right w:val="single" w:sz="4" w:space="0" w:color="auto"/>
            </w:tcBorders>
          </w:tcPr>
          <w:p w:rsidR="009A1E3C" w:rsidRPr="009A1E3C" w:rsidRDefault="009A1E3C" w:rsidP="00A13118">
            <w:pPr>
              <w:keepNext/>
              <w:widowControl w:val="0"/>
              <w:tabs>
                <w:tab w:val="left" w:pos="0"/>
              </w:tabs>
              <w:spacing w:before="60" w:after="60"/>
              <w:rPr>
                <w:rFonts w:ascii="Calibri" w:eastAsia="Calibri" w:hAnsi="Calibri"/>
                <w:sz w:val="20"/>
                <w:szCs w:val="20"/>
                <w:lang w:val="ro-RO"/>
              </w:rPr>
            </w:pPr>
            <w:r w:rsidRPr="009A1E3C">
              <w:rPr>
                <w:rFonts w:ascii="Calibri" w:eastAsia="Calibri" w:hAnsi="Calibri"/>
                <w:sz w:val="20"/>
                <w:szCs w:val="20"/>
                <w:lang w:val="ro-RO"/>
              </w:rPr>
              <w:t>August 2016</w:t>
            </w:r>
          </w:p>
        </w:tc>
        <w:tc>
          <w:tcPr>
            <w:tcW w:w="1276" w:type="dxa"/>
            <w:tcBorders>
              <w:top w:val="single" w:sz="4" w:space="0" w:color="auto"/>
              <w:left w:val="single" w:sz="4" w:space="0" w:color="auto"/>
              <w:bottom w:val="single" w:sz="4" w:space="0" w:color="auto"/>
              <w:right w:val="single" w:sz="4" w:space="0" w:color="auto"/>
            </w:tcBorders>
          </w:tcPr>
          <w:p w:rsidR="009A1E3C" w:rsidRPr="009A1E3C" w:rsidRDefault="009A1E3C" w:rsidP="00A13118">
            <w:r w:rsidRPr="009A1E3C">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eastAsia="Calibri" w:hAnsi="Calibri"/>
                <w:i/>
                <w:iCs/>
                <w:sz w:val="20"/>
                <w:szCs w:val="20"/>
                <w:lang w:val="ro-RO"/>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A1E3C" w:rsidRPr="00C768C5" w:rsidRDefault="009A1E3C" w:rsidP="00A13118">
            <w:pPr>
              <w:pStyle w:val="ListParagraph"/>
              <w:widowControl w:val="0"/>
              <w:numPr>
                <w:ilvl w:val="0"/>
                <w:numId w:val="14"/>
              </w:numPr>
              <w:autoSpaceDE w:val="0"/>
              <w:autoSpaceDN w:val="0"/>
              <w:adjustRightInd w:val="0"/>
              <w:ind w:left="459" w:hanging="141"/>
              <w:jc w:val="both"/>
              <w:rPr>
                <w:rFonts w:ascii="Calibri" w:eastAsia="Calibri" w:hAnsi="Calibri" w:cs="TimesNewRoman"/>
                <w:sz w:val="20"/>
                <w:szCs w:val="20"/>
                <w:lang w:val="ro-RO"/>
              </w:rPr>
            </w:pPr>
            <w:r w:rsidRPr="00C768C5">
              <w:rPr>
                <w:rFonts w:ascii="Calibri" w:eastAsia="Calibri" w:hAnsi="Calibri" w:cs="TimesNewRoman"/>
                <w:sz w:val="20"/>
                <w:szCs w:val="20"/>
                <w:lang w:val="ro-RO"/>
              </w:rPr>
              <w:t>A description of these scenarios is available.</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ED1D7D" w:rsidRDefault="009A1E3C" w:rsidP="00A13118">
            <w:pPr>
              <w:pStyle w:val="ListParagraph"/>
              <w:numPr>
                <w:ilvl w:val="0"/>
                <w:numId w:val="15"/>
              </w:numPr>
              <w:autoSpaceDE w:val="0"/>
              <w:autoSpaceDN w:val="0"/>
              <w:adjustRightInd w:val="0"/>
              <w:ind w:left="601" w:hanging="284"/>
              <w:jc w:val="both"/>
              <w:rPr>
                <w:rFonts w:ascii="Calibri" w:eastAsia="Calibri" w:hAnsi="Calibri"/>
                <w:color w:val="000000"/>
                <w:sz w:val="20"/>
                <w:szCs w:val="20"/>
                <w:lang w:val="ro-RO"/>
              </w:rPr>
            </w:pPr>
            <w:r w:rsidRPr="006D114E">
              <w:rPr>
                <w:rFonts w:ascii="Calibri" w:eastAsia="Calibri" w:hAnsi="Calibri"/>
                <w:color w:val="000000"/>
                <w:sz w:val="20"/>
                <w:szCs w:val="20"/>
                <w:lang w:val="ro-RO"/>
              </w:rPr>
              <w:t>Country report on risk assessment including</w:t>
            </w:r>
            <w:r w:rsidRPr="00ED1D7D">
              <w:rPr>
                <w:rFonts w:ascii="Calibri" w:eastAsia="Calibri" w:hAnsi="Calibri"/>
                <w:color w:val="000000"/>
                <w:sz w:val="20"/>
                <w:szCs w:val="20"/>
                <w:lang w:val="ro-RO"/>
              </w:rPr>
              <w:t xml:space="preserve"> the </w:t>
            </w:r>
            <w:r w:rsidRPr="00AE799F">
              <w:rPr>
                <w:rFonts w:ascii="Calibri" w:eastAsia="Calibri" w:hAnsi="Calibri"/>
                <w:i/>
                <w:color w:val="000000"/>
                <w:sz w:val="20"/>
                <w:szCs w:val="20"/>
                <w:lang w:val="ro-RO"/>
              </w:rPr>
              <w:t>results of risk assessment, risk matrix, analysis of uncertainty and recommendations for disaster risk reduction</w:t>
            </w:r>
            <w:r>
              <w:rPr>
                <w:rFonts w:ascii="Calibri" w:eastAsia="Calibri" w:hAnsi="Calibri"/>
                <w:color w:val="000000"/>
                <w:sz w:val="20"/>
                <w:szCs w:val="20"/>
                <w:lang w:val="ro-RO"/>
              </w:rPr>
              <w:t xml:space="preserve"> and p</w:t>
            </w:r>
            <w:r w:rsidRPr="00ED1D7D">
              <w:rPr>
                <w:rFonts w:ascii="Calibri" w:hAnsi="Calibri"/>
                <w:i/>
                <w:noProof w:val="0"/>
                <w:color w:val="000000"/>
                <w:sz w:val="20"/>
                <w:szCs w:val="20"/>
                <w:lang w:val="ro-RO"/>
              </w:rPr>
              <w:t>rioritisation of investements based on risk assessment, within the assessment of risk scenarios</w:t>
            </w:r>
          </w:p>
        </w:tc>
        <w:tc>
          <w:tcPr>
            <w:tcW w:w="1701" w:type="dxa"/>
            <w:tcBorders>
              <w:top w:val="single" w:sz="4" w:space="0" w:color="auto"/>
              <w:left w:val="single" w:sz="4" w:space="0" w:color="auto"/>
              <w:bottom w:val="single" w:sz="4" w:space="0" w:color="auto"/>
              <w:right w:val="single" w:sz="4" w:space="0" w:color="auto"/>
            </w:tcBorders>
          </w:tcPr>
          <w:p w:rsidR="009A1E3C" w:rsidRPr="00ED1D7D" w:rsidRDefault="009A1E3C" w:rsidP="00A13118">
            <w:pPr>
              <w:keepNext/>
              <w:widowControl w:val="0"/>
              <w:tabs>
                <w:tab w:val="left" w:pos="0"/>
              </w:tabs>
              <w:spacing w:before="60" w:after="60"/>
              <w:jc w:val="both"/>
              <w:rPr>
                <w:rFonts w:ascii="Calibri" w:eastAsia="Calibri" w:hAnsi="Calibri"/>
                <w:sz w:val="20"/>
                <w:szCs w:val="20"/>
                <w:lang w:val="ro-RO"/>
              </w:rPr>
            </w:pPr>
            <w:r>
              <w:rPr>
                <w:rFonts w:ascii="Calibri" w:eastAsia="Calibri" w:hAnsi="Calibri"/>
                <w:sz w:val="20"/>
                <w:szCs w:val="20"/>
                <w:lang w:val="ro-RO"/>
              </w:rPr>
              <w:t>November</w:t>
            </w:r>
            <w:r w:rsidRPr="00ED1D7D">
              <w:rPr>
                <w:rFonts w:ascii="Calibri" w:eastAsia="Calibri" w:hAnsi="Calibri"/>
                <w:sz w:val="20"/>
                <w:szCs w:val="20"/>
                <w:lang w:val="ro-RO"/>
              </w:rPr>
              <w:t xml:space="preserve"> 2016</w:t>
            </w:r>
          </w:p>
        </w:tc>
        <w:tc>
          <w:tcPr>
            <w:tcW w:w="1276" w:type="dxa"/>
            <w:tcBorders>
              <w:top w:val="single" w:sz="4" w:space="0" w:color="auto"/>
              <w:left w:val="single" w:sz="4" w:space="0" w:color="auto"/>
              <w:bottom w:val="single" w:sz="4" w:space="0" w:color="auto"/>
              <w:right w:val="single" w:sz="4" w:space="0" w:color="auto"/>
            </w:tcBorders>
          </w:tcPr>
          <w:p w:rsidR="009A1E3C" w:rsidRDefault="009A1E3C" w:rsidP="00A13118">
            <w:r w:rsidRPr="009776E5">
              <w:rPr>
                <w:rFonts w:ascii="Calibri" w:hAnsi="Calibri"/>
                <w:sz w:val="20"/>
                <w:szCs w:val="20"/>
                <w:lang w:val="ro-RO"/>
              </w:rPr>
              <w:t>MIA / GIES</w:t>
            </w: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A1E3C" w:rsidRPr="00555251" w:rsidRDefault="009A1E3C" w:rsidP="00A13118">
            <w:pPr>
              <w:autoSpaceDE w:val="0"/>
              <w:autoSpaceDN w:val="0"/>
              <w:adjustRightInd w:val="0"/>
              <w:jc w:val="both"/>
              <w:rPr>
                <w:rFonts w:ascii="Calibri" w:eastAsia="Calibri" w:hAnsi="Calibri"/>
                <w:i/>
                <w:iCs/>
                <w:sz w:val="20"/>
                <w:szCs w:val="20"/>
                <w:lang w:val="ro-RO"/>
              </w:rPr>
            </w:pPr>
            <w:r w:rsidRPr="00C768C5">
              <w:rPr>
                <w:rFonts w:ascii="Calibri" w:eastAsia="Calibri" w:hAnsi="Calibri" w:cs="TimesNewRoman"/>
                <w:sz w:val="20"/>
                <w:szCs w:val="20"/>
                <w:lang w:val="ro-RO"/>
              </w:rPr>
              <w:t xml:space="preserve">‒ </w:t>
            </w:r>
            <w:r w:rsidRPr="00C768C5">
              <w:rPr>
                <w:rFonts w:ascii="Calibri" w:eastAsia="Calibri" w:hAnsi="Calibri"/>
                <w:i/>
                <w:iCs/>
                <w:sz w:val="20"/>
                <w:szCs w:val="20"/>
                <w:lang w:val="ro-RO"/>
              </w:rPr>
              <w:t>Taking into account, where appropriate, national climate change adaptation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C768C5" w:rsidRDefault="009A1E3C" w:rsidP="00A13118">
            <w:pPr>
              <w:autoSpaceDE w:val="0"/>
              <w:autoSpaceDN w:val="0"/>
              <w:adjustRightInd w:val="0"/>
              <w:jc w:val="both"/>
              <w:rPr>
                <w:rFonts w:ascii="Calibri" w:hAnsi="Calibri"/>
                <w:sz w:val="20"/>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p>
        </w:tc>
      </w:tr>
      <w:tr w:rsidR="009A1E3C" w:rsidRPr="00C768C5" w:rsidTr="00A13118">
        <w:tc>
          <w:tcPr>
            <w:tcW w:w="1135" w:type="dxa"/>
            <w:vMerge/>
            <w:tcBorders>
              <w:left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A1E3C" w:rsidRPr="00C768C5" w:rsidRDefault="009A1E3C" w:rsidP="00A13118">
            <w:pPr>
              <w:pStyle w:val="ListParagraph"/>
              <w:widowControl w:val="0"/>
              <w:numPr>
                <w:ilvl w:val="0"/>
                <w:numId w:val="14"/>
              </w:numPr>
              <w:autoSpaceDE w:val="0"/>
              <w:autoSpaceDN w:val="0"/>
              <w:adjustRightInd w:val="0"/>
              <w:ind w:left="459" w:hanging="141"/>
              <w:jc w:val="both"/>
              <w:rPr>
                <w:rFonts w:ascii="Calibri" w:eastAsia="Calibri" w:hAnsi="Calibri" w:cs="TimesNewRoman"/>
                <w:sz w:val="20"/>
                <w:szCs w:val="20"/>
                <w:lang w:val="ro-RO"/>
              </w:rPr>
            </w:pPr>
            <w:r w:rsidRPr="00C768C5">
              <w:rPr>
                <w:rFonts w:ascii="Calibri" w:eastAsia="Calibri" w:hAnsi="Calibri" w:cs="TimesNewRoman"/>
                <w:sz w:val="20"/>
                <w:szCs w:val="20"/>
                <w:lang w:val="ro-RO"/>
              </w:rPr>
              <w:t xml:space="preserve">National climate change adaptation strategies address the impact of climate change on health, agriculture and </w:t>
            </w:r>
            <w:r w:rsidRPr="00C768C5">
              <w:rPr>
                <w:rFonts w:ascii="Calibri" w:eastAsia="Calibri" w:hAnsi="Calibri" w:cs="TimesNewRoman"/>
                <w:sz w:val="20"/>
                <w:szCs w:val="20"/>
                <w:lang w:val="ro-RO"/>
              </w:rPr>
              <w:lastRenderedPageBreak/>
              <w:t>forest, biodiversity and ecosystems, water, costal and marine areas, and infrastructures and constructions.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555251" w:rsidRDefault="009A1E3C" w:rsidP="00A13118">
            <w:pPr>
              <w:keepNext/>
              <w:widowControl w:val="0"/>
              <w:tabs>
                <w:tab w:val="left" w:pos="0"/>
              </w:tabs>
              <w:spacing w:before="60" w:after="60"/>
              <w:jc w:val="both"/>
              <w:rPr>
                <w:rFonts w:ascii="Calibri" w:hAnsi="Calibri"/>
                <w:sz w:val="20"/>
                <w:szCs w:val="20"/>
                <w:lang w:val="ro-RO"/>
              </w:rPr>
            </w:pPr>
            <w:r>
              <w:rPr>
                <w:rFonts w:ascii="Calibri" w:hAnsi="Calibri"/>
                <w:sz w:val="20"/>
                <w:szCs w:val="20"/>
                <w:lang w:val="ro-RO"/>
              </w:rPr>
              <w:lastRenderedPageBreak/>
              <w:t>T</w:t>
            </w:r>
            <w:r w:rsidRPr="00555251">
              <w:rPr>
                <w:rFonts w:ascii="Calibri" w:hAnsi="Calibri"/>
                <w:sz w:val="20"/>
                <w:szCs w:val="20"/>
                <w:lang w:val="ro-RO"/>
              </w:rPr>
              <w:t>he</w:t>
            </w:r>
            <w:r>
              <w:rPr>
                <w:rFonts w:ascii="Calibri" w:hAnsi="Calibri"/>
                <w:sz w:val="20"/>
                <w:szCs w:val="20"/>
                <w:lang w:val="ro-RO"/>
              </w:rPr>
              <w:t xml:space="preserve"> </w:t>
            </w:r>
            <w:r w:rsidRPr="00555251">
              <w:rPr>
                <w:rFonts w:ascii="Calibri" w:hAnsi="Calibri"/>
                <w:sz w:val="20"/>
                <w:szCs w:val="20"/>
                <w:lang w:val="ro-RO"/>
              </w:rPr>
              <w:t>National Strategy on Climate</w:t>
            </w:r>
            <w:r>
              <w:rPr>
                <w:rFonts w:ascii="Calibri" w:hAnsi="Calibri"/>
                <w:sz w:val="20"/>
                <w:szCs w:val="20"/>
                <w:lang w:val="ro-RO"/>
              </w:rPr>
              <w:t xml:space="preserve"> </w:t>
            </w:r>
            <w:r w:rsidRPr="00555251">
              <w:rPr>
                <w:rFonts w:ascii="Calibri" w:hAnsi="Calibri"/>
                <w:sz w:val="20"/>
                <w:szCs w:val="20"/>
                <w:lang w:val="ro-RO"/>
              </w:rPr>
              <w:t>Change 2013-2020 was approved</w:t>
            </w:r>
            <w:r>
              <w:rPr>
                <w:rFonts w:ascii="Calibri" w:hAnsi="Calibri"/>
                <w:sz w:val="20"/>
                <w:szCs w:val="20"/>
                <w:lang w:val="ro-RO"/>
              </w:rPr>
              <w:t xml:space="preserve"> </w:t>
            </w:r>
            <w:r w:rsidRPr="00555251">
              <w:rPr>
                <w:rFonts w:ascii="Calibri" w:hAnsi="Calibri"/>
                <w:sz w:val="20"/>
                <w:szCs w:val="20"/>
                <w:lang w:val="ro-RO"/>
              </w:rPr>
              <w:t>by the GO 529/2013. The Strategy</w:t>
            </w:r>
            <w:r>
              <w:rPr>
                <w:rFonts w:ascii="Calibri" w:hAnsi="Calibri"/>
                <w:sz w:val="20"/>
                <w:szCs w:val="20"/>
                <w:lang w:val="ro-RO"/>
              </w:rPr>
              <w:t xml:space="preserve"> </w:t>
            </w:r>
            <w:r w:rsidRPr="00555251">
              <w:rPr>
                <w:rFonts w:ascii="Calibri" w:hAnsi="Calibri"/>
                <w:sz w:val="20"/>
                <w:szCs w:val="20"/>
                <w:lang w:val="ro-RO"/>
              </w:rPr>
              <w:t>addresses two main components:</w:t>
            </w:r>
            <w:r>
              <w:rPr>
                <w:rFonts w:ascii="Calibri" w:hAnsi="Calibri"/>
                <w:sz w:val="20"/>
                <w:szCs w:val="20"/>
                <w:lang w:val="ro-RO"/>
              </w:rPr>
              <w:t xml:space="preserve"> </w:t>
            </w:r>
            <w:r w:rsidRPr="00555251">
              <w:rPr>
                <w:rFonts w:ascii="Calibri" w:hAnsi="Calibri"/>
                <w:sz w:val="20"/>
                <w:szCs w:val="20"/>
                <w:lang w:val="ro-RO"/>
              </w:rPr>
              <w:t>the reduction of greenhouse gas</w:t>
            </w:r>
            <w:r>
              <w:rPr>
                <w:rFonts w:ascii="Calibri" w:hAnsi="Calibri"/>
                <w:sz w:val="20"/>
                <w:szCs w:val="20"/>
                <w:lang w:val="ro-RO"/>
              </w:rPr>
              <w:t xml:space="preserve">  </w:t>
            </w:r>
            <w:r w:rsidRPr="00555251">
              <w:rPr>
                <w:rFonts w:ascii="Calibri" w:hAnsi="Calibri"/>
                <w:sz w:val="20"/>
                <w:szCs w:val="20"/>
                <w:lang w:val="ro-RO"/>
              </w:rPr>
              <w:t>emissions concentration</w:t>
            </w:r>
            <w:r>
              <w:rPr>
                <w:rFonts w:ascii="Calibri" w:hAnsi="Calibri"/>
                <w:sz w:val="20"/>
                <w:szCs w:val="20"/>
                <w:lang w:val="ro-RO"/>
              </w:rPr>
              <w:t xml:space="preserve"> </w:t>
            </w:r>
            <w:r w:rsidRPr="00555251">
              <w:rPr>
                <w:rFonts w:ascii="Calibri" w:hAnsi="Calibri"/>
                <w:sz w:val="20"/>
                <w:szCs w:val="20"/>
                <w:lang w:val="ro-RO"/>
              </w:rPr>
              <w:t>(Mitigation) and adapting to the</w:t>
            </w:r>
            <w:r>
              <w:rPr>
                <w:rFonts w:ascii="Calibri" w:hAnsi="Calibri"/>
                <w:sz w:val="20"/>
                <w:szCs w:val="20"/>
                <w:lang w:val="ro-RO"/>
              </w:rPr>
              <w:t xml:space="preserve"> </w:t>
            </w:r>
            <w:r w:rsidRPr="00555251">
              <w:rPr>
                <w:rFonts w:ascii="Calibri" w:hAnsi="Calibri"/>
                <w:sz w:val="20"/>
                <w:szCs w:val="20"/>
                <w:lang w:val="ro-RO"/>
              </w:rPr>
              <w:t xml:space="preserve">effects of </w:t>
            </w:r>
            <w:r w:rsidRPr="00555251">
              <w:rPr>
                <w:rFonts w:ascii="Calibri" w:hAnsi="Calibri"/>
                <w:sz w:val="20"/>
                <w:szCs w:val="20"/>
                <w:lang w:val="ro-RO"/>
              </w:rPr>
              <w:lastRenderedPageBreak/>
              <w:t>climate change</w:t>
            </w:r>
            <w:r>
              <w:rPr>
                <w:rFonts w:ascii="Calibri" w:hAnsi="Calibri"/>
                <w:sz w:val="20"/>
                <w:szCs w:val="20"/>
                <w:lang w:val="ro-RO"/>
              </w:rPr>
              <w:t xml:space="preserve"> </w:t>
            </w:r>
            <w:r w:rsidRPr="00555251">
              <w:rPr>
                <w:rFonts w:ascii="Calibri" w:hAnsi="Calibri"/>
                <w:sz w:val="20"/>
                <w:szCs w:val="20"/>
                <w:lang w:val="ro-RO"/>
              </w:rPr>
              <w:t>(Adaptation).</w:t>
            </w:r>
            <w:r>
              <w:rPr>
                <w:rFonts w:ascii="Calibri" w:hAnsi="Calibri"/>
                <w:sz w:val="20"/>
                <w:szCs w:val="20"/>
                <w:lang w:val="ro-RO"/>
              </w:rPr>
              <w:t xml:space="preserve"> </w:t>
            </w:r>
            <w:hyperlink r:id="rId8" w:history="1">
              <w:r w:rsidRPr="00B252F4">
                <w:rPr>
                  <w:rStyle w:val="Hyperlink"/>
                  <w:rFonts w:ascii="Calibri" w:hAnsi="Calibri"/>
                  <w:sz w:val="20"/>
                  <w:szCs w:val="20"/>
                  <w:lang w:val="ro-RO"/>
                </w:rPr>
                <w:t>http://www.mmediu.ro/</w:t>
              </w:r>
            </w:hyperlink>
            <w:r>
              <w:rPr>
                <w:rFonts w:ascii="Calibri" w:hAnsi="Calibri"/>
                <w:sz w:val="20"/>
                <w:szCs w:val="20"/>
                <w:lang w:val="ro-RO"/>
              </w:rPr>
              <w:t xml:space="preserve"> </w:t>
            </w:r>
            <w:r w:rsidRPr="00555251">
              <w:rPr>
                <w:rFonts w:ascii="Calibri" w:hAnsi="Calibri"/>
                <w:sz w:val="20"/>
                <w:szCs w:val="20"/>
                <w:lang w:val="ro-RO"/>
              </w:rPr>
              <w:t>beta/wpcontent/uploads/2012/10/2012-10-05-Strategia_NR-SC.pdf</w:t>
            </w:r>
          </w:p>
          <w:p w:rsidR="009A1E3C" w:rsidRPr="00555251" w:rsidRDefault="009A1E3C" w:rsidP="00A13118">
            <w:pPr>
              <w:keepNext/>
              <w:widowControl w:val="0"/>
              <w:tabs>
                <w:tab w:val="left" w:pos="0"/>
              </w:tabs>
              <w:spacing w:before="60" w:after="60"/>
              <w:jc w:val="both"/>
              <w:rPr>
                <w:rFonts w:ascii="Calibri" w:hAnsi="Calibri"/>
                <w:sz w:val="20"/>
                <w:szCs w:val="20"/>
                <w:lang w:val="ro-RO"/>
              </w:rPr>
            </w:pPr>
            <w:r w:rsidRPr="00555251">
              <w:rPr>
                <w:rFonts w:ascii="Calibri" w:hAnsi="Calibri"/>
                <w:sz w:val="20"/>
                <w:szCs w:val="20"/>
                <w:lang w:val="ro-RO"/>
              </w:rPr>
              <w:t>National Action Plan on Climate</w:t>
            </w:r>
            <w:r>
              <w:rPr>
                <w:rFonts w:ascii="Calibri" w:hAnsi="Calibri"/>
                <w:sz w:val="20"/>
                <w:szCs w:val="20"/>
                <w:lang w:val="ro-RO"/>
              </w:rPr>
              <w:t xml:space="preserve"> </w:t>
            </w:r>
            <w:r w:rsidRPr="00555251">
              <w:rPr>
                <w:rFonts w:ascii="Calibri" w:hAnsi="Calibri"/>
                <w:sz w:val="20"/>
                <w:szCs w:val="20"/>
                <w:lang w:val="ro-RO"/>
              </w:rPr>
              <w:t>Changes will be elaborated through</w:t>
            </w:r>
            <w:r>
              <w:rPr>
                <w:rFonts w:ascii="Calibri" w:hAnsi="Calibri"/>
                <w:sz w:val="20"/>
                <w:szCs w:val="20"/>
                <w:lang w:val="ro-RO"/>
              </w:rPr>
              <w:t xml:space="preserve"> </w:t>
            </w:r>
            <w:r w:rsidRPr="00555251">
              <w:rPr>
                <w:rFonts w:ascii="Calibri" w:hAnsi="Calibri"/>
                <w:sz w:val="20"/>
                <w:szCs w:val="20"/>
                <w:lang w:val="ro-RO"/>
              </w:rPr>
              <w:t>technical assistance in order to</w:t>
            </w:r>
            <w:r>
              <w:rPr>
                <w:rFonts w:ascii="Calibri" w:hAnsi="Calibri"/>
                <w:sz w:val="20"/>
                <w:szCs w:val="20"/>
                <w:lang w:val="ro-RO"/>
              </w:rPr>
              <w:t xml:space="preserve"> </w:t>
            </w:r>
            <w:r w:rsidRPr="00555251">
              <w:rPr>
                <w:rFonts w:ascii="Calibri" w:hAnsi="Calibri"/>
                <w:sz w:val="20"/>
                <w:szCs w:val="20"/>
                <w:lang w:val="ro-RO"/>
              </w:rPr>
              <w:t>operationalize the strategy.</w:t>
            </w:r>
          </w:p>
          <w:p w:rsidR="009A1E3C" w:rsidRPr="00C768C5" w:rsidRDefault="009A1E3C" w:rsidP="00A13118">
            <w:pPr>
              <w:keepNext/>
              <w:widowControl w:val="0"/>
              <w:tabs>
                <w:tab w:val="left" w:pos="0"/>
              </w:tabs>
              <w:spacing w:before="60" w:after="60"/>
              <w:jc w:val="both"/>
              <w:rPr>
                <w:rFonts w:ascii="Calibri" w:hAnsi="Calibri"/>
                <w:sz w:val="20"/>
                <w:szCs w:val="20"/>
                <w:lang w:val="ro-RO"/>
              </w:rPr>
            </w:pPr>
            <w:r w:rsidRPr="00555251">
              <w:rPr>
                <w:rFonts w:ascii="Calibri" w:hAnsi="Calibri"/>
                <w:sz w:val="20"/>
                <w:szCs w:val="20"/>
                <w:lang w:val="ro-RO"/>
              </w:rPr>
              <w:t>Development of the National</w:t>
            </w:r>
            <w:r>
              <w:rPr>
                <w:rFonts w:ascii="Calibri" w:hAnsi="Calibri"/>
                <w:sz w:val="20"/>
                <w:szCs w:val="20"/>
                <w:lang w:val="ro-RO"/>
              </w:rPr>
              <w:t xml:space="preserve"> </w:t>
            </w:r>
            <w:r w:rsidRPr="00555251">
              <w:rPr>
                <w:rFonts w:ascii="Calibri" w:hAnsi="Calibri"/>
                <w:sz w:val="20"/>
                <w:szCs w:val="20"/>
                <w:lang w:val="ro-RO"/>
              </w:rPr>
              <w:t>Action Plan on Climate Change</w:t>
            </w:r>
            <w:r>
              <w:rPr>
                <w:rFonts w:ascii="Calibri" w:hAnsi="Calibri"/>
                <w:sz w:val="20"/>
                <w:szCs w:val="20"/>
                <w:lang w:val="ro-RO"/>
              </w:rPr>
              <w:t xml:space="preserve"> </w:t>
            </w:r>
            <w:r w:rsidRPr="00555251">
              <w:rPr>
                <w:rFonts w:ascii="Calibri" w:hAnsi="Calibri"/>
                <w:sz w:val="20"/>
                <w:szCs w:val="20"/>
                <w:lang w:val="ro-RO"/>
              </w:rPr>
              <w:t>which will detail the sectorial</w:t>
            </w:r>
            <w:r>
              <w:rPr>
                <w:rFonts w:ascii="Calibri" w:hAnsi="Calibri"/>
                <w:sz w:val="20"/>
                <w:szCs w:val="20"/>
                <w:lang w:val="ro-RO"/>
              </w:rPr>
              <w:t xml:space="preserve"> </w:t>
            </w:r>
            <w:r w:rsidRPr="00555251">
              <w:rPr>
                <w:rFonts w:ascii="Calibri" w:hAnsi="Calibri"/>
                <w:sz w:val="20"/>
                <w:szCs w:val="20"/>
                <w:lang w:val="ro-RO"/>
              </w:rPr>
              <w:t>actions of the National Strategy in</w:t>
            </w:r>
            <w:r>
              <w:rPr>
                <w:rFonts w:ascii="Calibri" w:hAnsi="Calibri"/>
                <w:sz w:val="20"/>
                <w:szCs w:val="20"/>
                <w:lang w:val="ro-RO"/>
              </w:rPr>
              <w:t xml:space="preserve"> the field is under preparation. </w:t>
            </w:r>
            <w:r w:rsidRPr="00555251">
              <w:rPr>
                <w:rFonts w:ascii="Calibri" w:hAnsi="Calibri"/>
                <w:sz w:val="20"/>
                <w:szCs w:val="20"/>
                <w:lang w:val="ro-RO"/>
              </w:rPr>
              <w:t>A first draft of the Action</w:t>
            </w:r>
            <w:r>
              <w:rPr>
                <w:rFonts w:ascii="Calibri" w:hAnsi="Calibri"/>
                <w:sz w:val="20"/>
                <w:szCs w:val="20"/>
                <w:lang w:val="ro-RO"/>
              </w:rPr>
              <w:t xml:space="preserve"> Plan –wil be available in the first quarter of 2015, while the f</w:t>
            </w:r>
            <w:r w:rsidRPr="00555251">
              <w:rPr>
                <w:rFonts w:ascii="Calibri" w:hAnsi="Calibri"/>
                <w:sz w:val="20"/>
                <w:szCs w:val="20"/>
                <w:lang w:val="ro-RO"/>
              </w:rPr>
              <w:t xml:space="preserve">inal version </w:t>
            </w:r>
            <w:r>
              <w:rPr>
                <w:rFonts w:ascii="Calibri" w:hAnsi="Calibri"/>
                <w:sz w:val="20"/>
                <w:szCs w:val="20"/>
                <w:lang w:val="ro-RO"/>
              </w:rPr>
              <w:t>is to be apporved by end-June 2015.</w:t>
            </w:r>
          </w:p>
        </w:tc>
        <w:tc>
          <w:tcPr>
            <w:tcW w:w="1701"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r>
              <w:rPr>
                <w:rFonts w:ascii="Calibri" w:hAnsi="Calibri"/>
                <w:sz w:val="20"/>
                <w:szCs w:val="20"/>
                <w:lang w:val="ro-RO"/>
              </w:rPr>
              <w:lastRenderedPageBreak/>
              <w:t>October 2015</w:t>
            </w:r>
          </w:p>
        </w:tc>
        <w:tc>
          <w:tcPr>
            <w:tcW w:w="1276"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r>
              <w:rPr>
                <w:rFonts w:ascii="Calibri" w:hAnsi="Calibri"/>
                <w:sz w:val="20"/>
                <w:szCs w:val="20"/>
                <w:lang w:val="ro-RO"/>
              </w:rPr>
              <w:t>MEWF</w:t>
            </w:r>
          </w:p>
        </w:tc>
      </w:tr>
      <w:tr w:rsidR="009A1E3C" w:rsidRPr="00C768C5" w:rsidTr="00A13118">
        <w:tc>
          <w:tcPr>
            <w:tcW w:w="1135" w:type="dxa"/>
            <w:vMerge/>
            <w:tcBorders>
              <w:left w:val="single" w:sz="4" w:space="0" w:color="auto"/>
              <w:bottom w:val="single" w:sz="4" w:space="0" w:color="auto"/>
              <w:right w:val="single" w:sz="4" w:space="0" w:color="auto"/>
            </w:tcBorders>
            <w:shd w:val="clear" w:color="auto" w:fill="auto"/>
          </w:tcPr>
          <w:p w:rsidR="009A1E3C" w:rsidRPr="00C768C5" w:rsidRDefault="009A1E3C" w:rsidP="00A13118">
            <w:pPr>
              <w:widowControl w:val="0"/>
              <w:autoSpaceDE w:val="0"/>
              <w:autoSpaceDN w:val="0"/>
              <w:adjustRightInd w:val="0"/>
              <w:jc w:val="both"/>
              <w:rPr>
                <w:rFonts w:ascii="Calibri" w:eastAsia="Calibri" w:hAnsi="Calibri"/>
                <w:sz w:val="20"/>
                <w:szCs w:val="20"/>
                <w:lang w:val="ro-RO"/>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A1E3C" w:rsidRPr="00C768C5" w:rsidRDefault="009A1E3C" w:rsidP="00A13118">
            <w:pPr>
              <w:pStyle w:val="ListParagraph"/>
              <w:widowControl w:val="0"/>
              <w:numPr>
                <w:ilvl w:val="0"/>
                <w:numId w:val="14"/>
              </w:numPr>
              <w:autoSpaceDE w:val="0"/>
              <w:autoSpaceDN w:val="0"/>
              <w:adjustRightInd w:val="0"/>
              <w:ind w:left="459" w:hanging="141"/>
              <w:jc w:val="both"/>
              <w:rPr>
                <w:rFonts w:ascii="Calibri" w:eastAsia="Calibri" w:hAnsi="Calibri" w:cs="TimesNewRoman"/>
                <w:sz w:val="20"/>
                <w:szCs w:val="20"/>
                <w:lang w:val="ro-RO"/>
              </w:rPr>
            </w:pPr>
            <w:r w:rsidRPr="00C768C5">
              <w:rPr>
                <w:rFonts w:ascii="Calibri" w:eastAsia="Calibri" w:hAnsi="Calibri" w:cs="TimesNewRoman"/>
                <w:sz w:val="20"/>
                <w:szCs w:val="20"/>
                <w:lang w:val="ro-RO"/>
              </w:rPr>
              <w:t>The Climate change adaptation strategies have been taken into account to prioritise the investments to address specific risks, ensuring disaster resilience and developing disaster management systems.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A1E3C" w:rsidRPr="00B303B0" w:rsidRDefault="009A1E3C" w:rsidP="00A13118">
            <w:pPr>
              <w:pStyle w:val="ListParagraph"/>
              <w:ind w:left="0"/>
              <w:jc w:val="both"/>
              <w:rPr>
                <w:rFonts w:ascii="Calibri" w:eastAsia="Calibri" w:hAnsi="Calibri" w:cs="TimesNewRoman"/>
                <w:sz w:val="20"/>
                <w:szCs w:val="20"/>
                <w:lang w:val="ro-RO"/>
              </w:rPr>
            </w:pPr>
            <w:r w:rsidRPr="00ED1D7D">
              <w:rPr>
                <w:rFonts w:ascii="Calibri" w:eastAsia="Calibri" w:hAnsi="Calibri"/>
                <w:color w:val="000000"/>
                <w:sz w:val="20"/>
                <w:szCs w:val="20"/>
                <w:lang w:val="ro-RO"/>
              </w:rPr>
              <w:t xml:space="preserve">Description and assessment of representative risk scenarios </w:t>
            </w:r>
            <w:r w:rsidRPr="00B303B0">
              <w:rPr>
                <w:rFonts w:ascii="Calibri" w:eastAsia="Calibri" w:hAnsi="Calibri"/>
                <w:sz w:val="20"/>
                <w:szCs w:val="20"/>
                <w:lang w:val="ro-RO"/>
              </w:rPr>
              <w:t xml:space="preserve">will take into account the National Strategy for Climate Change Adaptation and the Climate Change Adaptation Strategies, when </w:t>
            </w:r>
            <w:r w:rsidRPr="00B303B0">
              <w:rPr>
                <w:rFonts w:ascii="Calibri" w:eastAsia="Calibri" w:hAnsi="Calibri" w:cs="TimesNewRoman"/>
                <w:sz w:val="20"/>
                <w:szCs w:val="20"/>
                <w:lang w:val="ro-RO"/>
              </w:rPr>
              <w:t>prioritis</w:t>
            </w:r>
            <w:r>
              <w:rPr>
                <w:rFonts w:ascii="Calibri" w:eastAsia="Calibri" w:hAnsi="Calibri" w:cs="TimesNewRoman"/>
                <w:sz w:val="20"/>
                <w:szCs w:val="20"/>
                <w:lang w:val="ro-RO"/>
              </w:rPr>
              <w:t>i</w:t>
            </w:r>
            <w:r w:rsidRPr="00B303B0">
              <w:rPr>
                <w:rFonts w:ascii="Calibri" w:eastAsia="Calibri" w:hAnsi="Calibri" w:cs="TimesNewRoman"/>
                <w:sz w:val="20"/>
                <w:szCs w:val="20"/>
                <w:lang w:val="ro-RO"/>
              </w:rPr>
              <w:t>ng the invest</w:t>
            </w:r>
            <w:r>
              <w:rPr>
                <w:rFonts w:ascii="Calibri" w:eastAsia="Calibri" w:hAnsi="Calibri" w:cs="TimesNewRoman"/>
                <w:sz w:val="20"/>
                <w:szCs w:val="20"/>
                <w:lang w:val="ro-RO"/>
              </w:rPr>
              <w:t>ments to address specific risks (reflected in the Country Report)</w:t>
            </w:r>
          </w:p>
          <w:p w:rsidR="009A1E3C" w:rsidRPr="00C768C5" w:rsidRDefault="009A1E3C" w:rsidP="00A13118">
            <w:pPr>
              <w:keepNext/>
              <w:widowControl w:val="0"/>
              <w:tabs>
                <w:tab w:val="left" w:pos="0"/>
              </w:tabs>
              <w:spacing w:before="60" w:after="60"/>
              <w:jc w:val="both"/>
              <w:rPr>
                <w:rFonts w:ascii="Calibri" w:hAnsi="Calibri"/>
                <w:sz w:val="20"/>
                <w:szCs w:val="20"/>
                <w:lang w:val="ro-RO"/>
              </w:rPr>
            </w:pPr>
          </w:p>
        </w:tc>
        <w:tc>
          <w:tcPr>
            <w:tcW w:w="1701"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r>
              <w:rPr>
                <w:rFonts w:ascii="Calibri" w:hAnsi="Calibri"/>
                <w:sz w:val="20"/>
                <w:szCs w:val="20"/>
                <w:lang w:val="ro-RO"/>
              </w:rPr>
              <w:t>November 2016</w:t>
            </w:r>
          </w:p>
        </w:tc>
        <w:tc>
          <w:tcPr>
            <w:tcW w:w="1276" w:type="dxa"/>
            <w:tcBorders>
              <w:top w:val="single" w:sz="4" w:space="0" w:color="auto"/>
              <w:left w:val="single" w:sz="4" w:space="0" w:color="auto"/>
              <w:bottom w:val="single" w:sz="4" w:space="0" w:color="auto"/>
              <w:right w:val="single" w:sz="4" w:space="0" w:color="auto"/>
            </w:tcBorders>
          </w:tcPr>
          <w:p w:rsidR="009A1E3C" w:rsidRPr="00C768C5" w:rsidRDefault="009A1E3C" w:rsidP="00A13118">
            <w:pPr>
              <w:keepNext/>
              <w:widowControl w:val="0"/>
              <w:tabs>
                <w:tab w:val="left" w:pos="0"/>
              </w:tabs>
              <w:spacing w:before="60" w:after="60"/>
              <w:jc w:val="both"/>
              <w:rPr>
                <w:rFonts w:ascii="Calibri" w:hAnsi="Calibri"/>
                <w:sz w:val="20"/>
                <w:szCs w:val="20"/>
                <w:lang w:val="ro-RO"/>
              </w:rPr>
            </w:pPr>
            <w:r>
              <w:rPr>
                <w:rFonts w:ascii="Calibri" w:hAnsi="Calibri"/>
                <w:sz w:val="20"/>
                <w:szCs w:val="20"/>
                <w:lang w:val="ro-RO"/>
              </w:rPr>
              <w:t>MIA / GIES</w:t>
            </w:r>
          </w:p>
        </w:tc>
      </w:tr>
    </w:tbl>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pPr>
    </w:p>
    <w:p w:rsidR="009A1E3C" w:rsidRDefault="009A1E3C" w:rsidP="009A1E3C">
      <w:pPr>
        <w:jc w:val="both"/>
        <w:rPr>
          <w:lang w:val="ro-RO"/>
        </w:rPr>
        <w:sectPr w:rsidR="009A1E3C" w:rsidSect="00D0715A">
          <w:headerReference w:type="default" r:id="rId9"/>
          <w:footerReference w:type="default" r:id="rId10"/>
          <w:pgSz w:w="16838" w:h="11906" w:orient="landscape"/>
          <w:pgMar w:top="1417" w:right="1417" w:bottom="1135" w:left="1417" w:header="708" w:footer="708" w:gutter="0"/>
          <w:cols w:space="708"/>
          <w:docGrid w:linePitch="360"/>
        </w:sectPr>
      </w:pPr>
    </w:p>
    <w:p w:rsidR="009A1E3C" w:rsidRDefault="009A1E3C" w:rsidP="009A1E3C">
      <w:pPr>
        <w:autoSpaceDE w:val="0"/>
        <w:autoSpaceDN w:val="0"/>
        <w:adjustRightInd w:val="0"/>
        <w:jc w:val="center"/>
        <w:rPr>
          <w:rFonts w:ascii="Calibri" w:hAnsi="Calibri"/>
          <w:b/>
          <w:color w:val="000000"/>
          <w:sz w:val="30"/>
          <w:szCs w:val="30"/>
        </w:rPr>
      </w:pPr>
      <w:r w:rsidRPr="00DC5192">
        <w:rPr>
          <w:rFonts w:ascii="Calibri" w:hAnsi="Calibri"/>
          <w:b/>
          <w:color w:val="000000"/>
          <w:sz w:val="30"/>
          <w:szCs w:val="30"/>
        </w:rPr>
        <w:lastRenderedPageBreak/>
        <w:t>Working methodology to be applied for fulfillment of ex-ante conditionality</w:t>
      </w:r>
    </w:p>
    <w:p w:rsidR="009A1E3C" w:rsidRPr="00DC5192" w:rsidRDefault="009A1E3C" w:rsidP="009A1E3C">
      <w:pPr>
        <w:autoSpaceDE w:val="0"/>
        <w:autoSpaceDN w:val="0"/>
        <w:adjustRightInd w:val="0"/>
        <w:jc w:val="center"/>
        <w:rPr>
          <w:rFonts w:ascii="Calibri" w:hAnsi="Calibri"/>
          <w:b/>
          <w:color w:val="000000"/>
          <w:sz w:val="30"/>
          <w:szCs w:val="30"/>
        </w:rPr>
      </w:pPr>
    </w:p>
    <w:p w:rsidR="009A1E3C" w:rsidRPr="009A1E3C" w:rsidRDefault="009A1E3C" w:rsidP="009A1E3C">
      <w:pPr>
        <w:numPr>
          <w:ilvl w:val="0"/>
          <w:numId w:val="20"/>
        </w:numPr>
        <w:autoSpaceDE w:val="0"/>
        <w:autoSpaceDN w:val="0"/>
        <w:adjustRightInd w:val="0"/>
        <w:spacing w:after="120"/>
        <w:jc w:val="both"/>
        <w:rPr>
          <w:rFonts w:ascii="Calibri" w:hAnsi="Calibri"/>
          <w:b/>
          <w:sz w:val="28"/>
          <w:szCs w:val="28"/>
        </w:rPr>
      </w:pPr>
      <w:r w:rsidRPr="009A1E3C">
        <w:rPr>
          <w:rFonts w:ascii="Calibri" w:hAnsi="Calibri"/>
          <w:b/>
          <w:sz w:val="28"/>
          <w:szCs w:val="28"/>
        </w:rPr>
        <w:t>Description of the main activities and their relevance for the ex-ante conditionality criteria</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rPr>
        <w:t>The ex-ante conditionality regarding the existence of national or regional risk assessments for disaster management taking into account climate change adaptation is applicable to Priority Axis 5 from Large Infrastructure Operational Programme.</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rPr>
        <w:t xml:space="preserve">In order to ensure the fulfillment of the ex-ante conditionality according to criteria foreseen in Regulation (EU) No 1303/2013, the assessment of the main risks in Romania will be performed through two EU funded projects, under the coordination of the Ministry for Internal Affairs, and within the framework of </w:t>
      </w:r>
      <w:r w:rsidRPr="009A1E3C">
        <w:rPr>
          <w:rFonts w:ascii="Calibri" w:hAnsi="Calibri"/>
          <w:lang w:val="en-GB"/>
        </w:rPr>
        <w:t xml:space="preserve">the Working Group on Risk </w:t>
      </w:r>
      <w:r w:rsidRPr="009A1E3C">
        <w:rPr>
          <w:rFonts w:ascii="Calibri" w:hAnsi="Calibri"/>
          <w:noProof/>
          <w:lang w:val="en-GB"/>
        </w:rPr>
        <w:t>Assessment</w:t>
      </w:r>
      <w:r w:rsidRPr="009A1E3C">
        <w:rPr>
          <w:rFonts w:ascii="Calibri" w:hAnsi="Calibri"/>
          <w:lang w:val="en-GB"/>
        </w:rPr>
        <w:t xml:space="preserve"> at National Level </w:t>
      </w:r>
      <w:r w:rsidRPr="009A1E3C">
        <w:rPr>
          <w:rFonts w:ascii="Calibri" w:hAnsi="Calibri"/>
        </w:rPr>
        <w:t>(GLERN).</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rPr>
        <w:t>The RO-RISK project started at the end of 2013, is to be ended by December 2015 and will be continued with RO-RISK 2 until November 2016.</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rPr>
        <w:t>The projects consist of four activities, which consider the criteria to be used to assess the</w:t>
      </w:r>
      <w:r w:rsidRPr="009A1E3C">
        <w:rPr>
          <w:rFonts w:ascii="Calibri" w:hAnsi="Calibri"/>
          <w:lang w:val="en-GB"/>
        </w:rPr>
        <w:t xml:space="preserve"> ex-ante conditionality fulfilment</w:t>
      </w:r>
      <w:r w:rsidRPr="009A1E3C">
        <w:rPr>
          <w:rFonts w:ascii="Calibri" w:hAnsi="Calibri"/>
        </w:rPr>
        <w:t>, as follows:</w:t>
      </w:r>
    </w:p>
    <w:p w:rsidR="009A1E3C" w:rsidRPr="009A1E3C" w:rsidRDefault="009A1E3C" w:rsidP="009A1E3C">
      <w:pPr>
        <w:autoSpaceDE w:val="0"/>
        <w:autoSpaceDN w:val="0"/>
        <w:adjustRightInd w:val="0"/>
        <w:ind w:left="357"/>
        <w:jc w:val="both"/>
        <w:rPr>
          <w:rFonts w:ascii="Calibri" w:hAnsi="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237"/>
      </w:tblGrid>
      <w:tr w:rsidR="009A1E3C" w:rsidRPr="009A1E3C" w:rsidTr="00A13118">
        <w:tc>
          <w:tcPr>
            <w:tcW w:w="3686" w:type="dxa"/>
            <w:shd w:val="clear" w:color="auto" w:fill="auto"/>
          </w:tcPr>
          <w:p w:rsidR="009A1E3C" w:rsidRPr="009A1E3C" w:rsidRDefault="009A1E3C" w:rsidP="00A13118">
            <w:pPr>
              <w:autoSpaceDE w:val="0"/>
              <w:autoSpaceDN w:val="0"/>
              <w:adjustRightInd w:val="0"/>
              <w:jc w:val="both"/>
              <w:rPr>
                <w:rFonts w:ascii="Calibri" w:hAnsi="Calibri"/>
                <w:b/>
                <w:sz w:val="20"/>
                <w:szCs w:val="20"/>
              </w:rPr>
            </w:pPr>
            <w:r w:rsidRPr="009A1E3C">
              <w:rPr>
                <w:rFonts w:ascii="Calibri" w:hAnsi="Calibri"/>
                <w:b/>
                <w:sz w:val="20"/>
                <w:szCs w:val="20"/>
              </w:rPr>
              <w:t>Criterion</w:t>
            </w:r>
          </w:p>
        </w:tc>
        <w:tc>
          <w:tcPr>
            <w:tcW w:w="6237" w:type="dxa"/>
            <w:shd w:val="clear" w:color="auto" w:fill="auto"/>
          </w:tcPr>
          <w:p w:rsidR="009A1E3C" w:rsidRPr="009A1E3C" w:rsidRDefault="009A1E3C" w:rsidP="00A13118">
            <w:pPr>
              <w:autoSpaceDE w:val="0"/>
              <w:autoSpaceDN w:val="0"/>
              <w:adjustRightInd w:val="0"/>
              <w:jc w:val="both"/>
              <w:rPr>
                <w:rFonts w:ascii="Calibri" w:hAnsi="Calibri"/>
                <w:b/>
                <w:sz w:val="20"/>
                <w:szCs w:val="20"/>
              </w:rPr>
            </w:pPr>
            <w:r w:rsidRPr="009A1E3C">
              <w:rPr>
                <w:rFonts w:ascii="Calibri" w:hAnsi="Calibri"/>
                <w:b/>
                <w:sz w:val="20"/>
                <w:szCs w:val="20"/>
              </w:rPr>
              <w:t>Project Activity</w:t>
            </w:r>
          </w:p>
        </w:tc>
      </w:tr>
      <w:tr w:rsidR="009A1E3C" w:rsidRPr="009A1E3C" w:rsidTr="00A13118">
        <w:tc>
          <w:tcPr>
            <w:tcW w:w="3686" w:type="dxa"/>
            <w:shd w:val="clear" w:color="auto" w:fill="auto"/>
          </w:tcPr>
          <w:p w:rsidR="009A1E3C" w:rsidRPr="009A1E3C" w:rsidRDefault="009A1E3C" w:rsidP="00A13118">
            <w:pPr>
              <w:autoSpaceDE w:val="0"/>
              <w:autoSpaceDN w:val="0"/>
              <w:adjustRightInd w:val="0"/>
              <w:jc w:val="both"/>
              <w:rPr>
                <w:rFonts w:ascii="Calibri" w:hAnsi="Calibri"/>
                <w:sz w:val="20"/>
                <w:szCs w:val="20"/>
              </w:rPr>
            </w:pPr>
            <w:r w:rsidRPr="009A1E3C">
              <w:rPr>
                <w:rFonts w:ascii="Calibri" w:hAnsi="Calibri"/>
                <w:sz w:val="20"/>
                <w:szCs w:val="20"/>
                <w:lang w:val="en-GB"/>
              </w:rPr>
              <w:t>A description of the process, methodology, methods and non-sensitive data used for risk assessment as well as the risk-based criteria for the prioritisation of the investment</w:t>
            </w:r>
          </w:p>
        </w:tc>
        <w:tc>
          <w:tcPr>
            <w:tcW w:w="6237" w:type="dxa"/>
            <w:shd w:val="clear" w:color="auto" w:fill="auto"/>
          </w:tcPr>
          <w:p w:rsidR="009A1E3C" w:rsidRPr="009A1E3C" w:rsidRDefault="009A1E3C" w:rsidP="00A13118">
            <w:pPr>
              <w:autoSpaceDE w:val="0"/>
              <w:autoSpaceDN w:val="0"/>
              <w:adjustRightInd w:val="0"/>
              <w:jc w:val="both"/>
              <w:rPr>
                <w:rFonts w:ascii="Calibri" w:hAnsi="Calibri"/>
                <w:sz w:val="20"/>
                <w:szCs w:val="20"/>
              </w:rPr>
            </w:pPr>
            <w:r w:rsidRPr="009A1E3C">
              <w:rPr>
                <w:rFonts w:ascii="Calibri" w:hAnsi="Calibri"/>
                <w:i/>
                <w:sz w:val="20"/>
                <w:szCs w:val="20"/>
                <w:lang w:val="en-GB"/>
              </w:rPr>
              <w:t>Activity 1- Study of legal, regulatory and institutional framework of risk management in Romania</w:t>
            </w:r>
            <w:r w:rsidRPr="009A1E3C">
              <w:rPr>
                <w:rFonts w:ascii="Calibri" w:hAnsi="Calibri"/>
                <w:sz w:val="20"/>
                <w:szCs w:val="20"/>
                <w:lang w:val="en-GB"/>
              </w:rPr>
              <w:t xml:space="preserve"> </w:t>
            </w:r>
            <w:r w:rsidRPr="009A1E3C">
              <w:rPr>
                <w:rFonts w:ascii="Calibri" w:hAnsi="Calibri"/>
                <w:i/>
                <w:sz w:val="20"/>
                <w:szCs w:val="20"/>
                <w:lang w:val="en-GB"/>
              </w:rPr>
              <w:t>and the risk assessment</w:t>
            </w:r>
            <w:r w:rsidRPr="009A1E3C">
              <w:rPr>
                <w:rFonts w:ascii="Calibri" w:hAnsi="Calibri"/>
                <w:sz w:val="20"/>
                <w:szCs w:val="20"/>
                <w:lang w:val="en-GB"/>
              </w:rPr>
              <w:t xml:space="preserve"> in order to identify gaps and overlapping</w:t>
            </w:r>
          </w:p>
          <w:p w:rsidR="009A1E3C" w:rsidRPr="009A1E3C" w:rsidRDefault="009A1E3C" w:rsidP="00A13118">
            <w:pPr>
              <w:autoSpaceDE w:val="0"/>
              <w:autoSpaceDN w:val="0"/>
              <w:adjustRightInd w:val="0"/>
              <w:jc w:val="both"/>
              <w:rPr>
                <w:rFonts w:ascii="Calibri" w:hAnsi="Calibri"/>
                <w:i/>
                <w:sz w:val="20"/>
                <w:szCs w:val="20"/>
                <w:lang w:val="en-GB"/>
              </w:rPr>
            </w:pPr>
            <w:r w:rsidRPr="009A1E3C">
              <w:rPr>
                <w:rFonts w:ascii="Calibri" w:hAnsi="Calibri"/>
                <w:i/>
                <w:sz w:val="20"/>
                <w:szCs w:val="20"/>
                <w:lang w:val="en-GB"/>
              </w:rPr>
              <w:t>Activity 2</w:t>
            </w:r>
            <w:r w:rsidRPr="009A1E3C">
              <w:rPr>
                <w:rFonts w:ascii="Calibri" w:hAnsi="Calibri"/>
                <w:i/>
                <w:sz w:val="20"/>
                <w:szCs w:val="20"/>
              </w:rPr>
              <w:t xml:space="preserve"> </w:t>
            </w:r>
            <w:r w:rsidRPr="009A1E3C">
              <w:rPr>
                <w:rFonts w:ascii="Calibri" w:hAnsi="Calibri"/>
                <w:i/>
                <w:sz w:val="20"/>
                <w:szCs w:val="20"/>
                <w:lang w:val="en-GB"/>
              </w:rPr>
              <w:t>- Develop and implement national risk assessment methodology</w:t>
            </w:r>
          </w:p>
          <w:p w:rsidR="009A1E3C" w:rsidRPr="009A1E3C" w:rsidRDefault="009A1E3C" w:rsidP="00A13118">
            <w:pPr>
              <w:autoSpaceDE w:val="0"/>
              <w:autoSpaceDN w:val="0"/>
              <w:adjustRightInd w:val="0"/>
              <w:jc w:val="both"/>
              <w:rPr>
                <w:rFonts w:ascii="Calibri" w:hAnsi="Calibri"/>
                <w:sz w:val="20"/>
                <w:szCs w:val="20"/>
              </w:rPr>
            </w:pPr>
            <w:r w:rsidRPr="009A1E3C">
              <w:rPr>
                <w:rFonts w:ascii="Calibri" w:hAnsi="Calibri"/>
                <w:i/>
                <w:sz w:val="20"/>
                <w:szCs w:val="20"/>
                <w:lang w:val="en-GB"/>
              </w:rPr>
              <w:t>Activity 3 - Setting up the database with risk exposure and response capabilities and the development of WebGIS application and GIS portal</w:t>
            </w:r>
          </w:p>
        </w:tc>
      </w:tr>
      <w:tr w:rsidR="009A1E3C" w:rsidRPr="009A1E3C" w:rsidTr="00A13118">
        <w:tc>
          <w:tcPr>
            <w:tcW w:w="3686" w:type="dxa"/>
            <w:shd w:val="clear" w:color="auto" w:fill="auto"/>
          </w:tcPr>
          <w:p w:rsidR="009A1E3C" w:rsidRPr="009A1E3C" w:rsidRDefault="009A1E3C" w:rsidP="00A13118">
            <w:pPr>
              <w:autoSpaceDE w:val="0"/>
              <w:autoSpaceDN w:val="0"/>
              <w:adjustRightInd w:val="0"/>
              <w:jc w:val="both"/>
              <w:rPr>
                <w:rFonts w:ascii="Calibri" w:hAnsi="Calibri"/>
                <w:sz w:val="20"/>
                <w:szCs w:val="20"/>
              </w:rPr>
            </w:pPr>
            <w:r w:rsidRPr="009A1E3C">
              <w:rPr>
                <w:rFonts w:ascii="Calibri" w:hAnsi="Calibri"/>
                <w:sz w:val="20"/>
                <w:szCs w:val="20"/>
                <w:lang w:val="en-GB"/>
              </w:rPr>
              <w:t>A description of sing</w:t>
            </w:r>
            <w:r w:rsidRPr="009A1E3C">
              <w:rPr>
                <w:rFonts w:ascii="Calibri" w:hAnsi="Calibri"/>
                <w:sz w:val="20"/>
                <w:szCs w:val="20"/>
              </w:rPr>
              <w:t>le-risk and multi-risk scenarios</w:t>
            </w:r>
          </w:p>
        </w:tc>
        <w:tc>
          <w:tcPr>
            <w:tcW w:w="6237" w:type="dxa"/>
            <w:vMerge w:val="restart"/>
            <w:shd w:val="clear" w:color="auto" w:fill="auto"/>
          </w:tcPr>
          <w:p w:rsidR="009A1E3C" w:rsidRPr="009A1E3C" w:rsidRDefault="009A1E3C" w:rsidP="00A13118">
            <w:pPr>
              <w:autoSpaceDE w:val="0"/>
              <w:autoSpaceDN w:val="0"/>
              <w:adjustRightInd w:val="0"/>
              <w:jc w:val="both"/>
              <w:rPr>
                <w:rFonts w:ascii="Calibri" w:hAnsi="Calibri"/>
                <w:i/>
                <w:sz w:val="20"/>
                <w:szCs w:val="20"/>
              </w:rPr>
            </w:pPr>
            <w:r w:rsidRPr="009A1E3C">
              <w:rPr>
                <w:rFonts w:ascii="Calibri" w:hAnsi="Calibri"/>
                <w:i/>
                <w:sz w:val="20"/>
                <w:szCs w:val="20"/>
                <w:lang w:val="en-GB"/>
              </w:rPr>
              <w:t>Activity 4 - Description and assessment of representative risk scenarios for each of the following nine risks: floods, drought, forest fires, earthquakes, landslides, Seveso accidents, accidents during the transport of dangerous goods, nuclear accidents, epidemics and zoonotic disease, based on the national risk assessment methodology</w:t>
            </w:r>
          </w:p>
        </w:tc>
      </w:tr>
      <w:tr w:rsidR="009A1E3C" w:rsidRPr="009A1E3C" w:rsidTr="00A13118">
        <w:tc>
          <w:tcPr>
            <w:tcW w:w="3686" w:type="dxa"/>
            <w:shd w:val="clear" w:color="auto" w:fill="auto"/>
          </w:tcPr>
          <w:p w:rsidR="009A1E3C" w:rsidRPr="009A1E3C" w:rsidRDefault="009A1E3C" w:rsidP="00A13118">
            <w:pPr>
              <w:autoSpaceDE w:val="0"/>
              <w:autoSpaceDN w:val="0"/>
              <w:adjustRightInd w:val="0"/>
              <w:jc w:val="both"/>
              <w:rPr>
                <w:rFonts w:ascii="Calibri" w:hAnsi="Calibri"/>
                <w:sz w:val="20"/>
                <w:szCs w:val="20"/>
              </w:rPr>
            </w:pPr>
            <w:r w:rsidRPr="009A1E3C">
              <w:rPr>
                <w:rFonts w:ascii="Calibri" w:hAnsi="Calibri"/>
                <w:sz w:val="20"/>
                <w:szCs w:val="20"/>
              </w:rPr>
              <w:t>Taking into account, where appropriate, national climate change adaptation strategies</w:t>
            </w:r>
          </w:p>
        </w:tc>
        <w:tc>
          <w:tcPr>
            <w:tcW w:w="6237" w:type="dxa"/>
            <w:vMerge/>
            <w:shd w:val="clear" w:color="auto" w:fill="auto"/>
          </w:tcPr>
          <w:p w:rsidR="009A1E3C" w:rsidRPr="009A1E3C" w:rsidRDefault="009A1E3C" w:rsidP="00A13118">
            <w:pPr>
              <w:autoSpaceDE w:val="0"/>
              <w:autoSpaceDN w:val="0"/>
              <w:adjustRightInd w:val="0"/>
              <w:jc w:val="both"/>
              <w:rPr>
                <w:rFonts w:ascii="Calibri" w:hAnsi="Calibri"/>
                <w:sz w:val="20"/>
                <w:szCs w:val="20"/>
              </w:rPr>
            </w:pPr>
          </w:p>
        </w:tc>
      </w:tr>
    </w:tbl>
    <w:p w:rsidR="009A1E3C" w:rsidRPr="009A1E3C" w:rsidRDefault="009A1E3C" w:rsidP="009A1E3C">
      <w:pPr>
        <w:autoSpaceDE w:val="0"/>
        <w:autoSpaceDN w:val="0"/>
        <w:adjustRightInd w:val="0"/>
        <w:spacing w:after="120"/>
        <w:jc w:val="both"/>
        <w:rPr>
          <w:rFonts w:ascii="Calibri" w:hAnsi="Calibri"/>
        </w:rPr>
      </w:pPr>
    </w:p>
    <w:p w:rsidR="009A1E3C" w:rsidRPr="009A1E3C" w:rsidRDefault="009A1E3C" w:rsidP="009A1E3C">
      <w:pPr>
        <w:autoSpaceDE w:val="0"/>
        <w:autoSpaceDN w:val="0"/>
        <w:adjustRightInd w:val="0"/>
        <w:spacing w:after="120"/>
        <w:jc w:val="both"/>
        <w:rPr>
          <w:rFonts w:ascii="Calibri" w:hAnsi="Calibri"/>
          <w:lang w:val="ro-RO"/>
        </w:rPr>
      </w:pPr>
      <w:r w:rsidRPr="009A1E3C">
        <w:rPr>
          <w:rFonts w:ascii="Calibri" w:hAnsi="Calibri"/>
        </w:rPr>
        <w:t xml:space="preserve">The projects for national risk assessment will develop </w:t>
      </w:r>
      <w:r w:rsidRPr="009A1E3C">
        <w:rPr>
          <w:rFonts w:ascii="Calibri" w:hAnsi="Calibri"/>
          <w:lang w:val="en-GB"/>
        </w:rPr>
        <w:t>a set of instruments for a unitary risk assessment and the integration of the sectorial evaluation results (methodology, databases and GIS portal), and also the first assessment of risks. These instruments will facilitate the access of all stakeholders to relevant information regarding exposure, vulnerabilities, and risks, and facilitate information exchange between responsible authorities</w:t>
      </w:r>
      <w:r w:rsidRPr="009A1E3C">
        <w:rPr>
          <w:rFonts w:ascii="Calibri" w:hAnsi="Calibri"/>
          <w:lang w:val="ro-RO"/>
        </w:rPr>
        <w:t>, in order to prioritise prevention measures based on the economic damages avoided, and response measures based on residual risk mapping.</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 xml:space="preserve">Thereby it will be possible to identify interconnections between different types of risks, to avoid overlapping efforts and to prioritize common strategies for disaster risk reduction.  </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Moreover, it is necessary to define acceptable risk and establish the threshold for the risk as a basis for assessment process by applying the methodology in order to prioritize the measures to be taken.</w:t>
      </w:r>
    </w:p>
    <w:p w:rsidR="009A1E3C" w:rsidRPr="009A1E3C" w:rsidRDefault="009A1E3C" w:rsidP="009A1E3C">
      <w:pPr>
        <w:autoSpaceDE w:val="0"/>
        <w:autoSpaceDN w:val="0"/>
        <w:adjustRightInd w:val="0"/>
        <w:spacing w:after="120"/>
        <w:jc w:val="both"/>
        <w:rPr>
          <w:rFonts w:ascii="Calibri" w:hAnsi="Calibri"/>
          <w:lang w:val="ro-RO"/>
        </w:rPr>
      </w:pPr>
      <w:r w:rsidRPr="009A1E3C">
        <w:rPr>
          <w:rFonts w:ascii="Calibri" w:hAnsi="Calibri"/>
          <w:lang w:val="en-GB"/>
        </w:rPr>
        <w:t>It must be considered that the risk assessment provides valuable information to government by showing the population’s exposure to natural and man-made risks</w:t>
      </w:r>
      <w:r w:rsidRPr="009A1E3C">
        <w:rPr>
          <w:rFonts w:ascii="Calibri" w:hAnsi="Calibri"/>
        </w:rPr>
        <w:t xml:space="preserve"> offers the premises for the sustainable </w:t>
      </w:r>
      <w:r w:rsidRPr="009A1E3C">
        <w:rPr>
          <w:rFonts w:ascii="Calibri" w:hAnsi="Calibri"/>
          <w:lang w:val="en-GB"/>
        </w:rPr>
        <w:t xml:space="preserve">land use planning in order to protect lives and livelihoods of people and represents the </w:t>
      </w:r>
      <w:r w:rsidRPr="009A1E3C">
        <w:rPr>
          <w:rFonts w:ascii="Calibri" w:hAnsi="Calibri"/>
          <w:lang w:val="en-GB"/>
        </w:rPr>
        <w:lastRenderedPageBreak/>
        <w:t xml:space="preserve">first step in the disaster risk reduction process. </w:t>
      </w:r>
      <w:r w:rsidRPr="009A1E3C">
        <w:rPr>
          <w:rFonts w:ascii="Calibri" w:hAnsi="Calibri"/>
          <w:lang w:val="ro-RO"/>
        </w:rPr>
        <w:t>It will also provide instruments to prioritise the intervention measures for risk reduction, based on average annual economic damages avoided.</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ro-RO"/>
        </w:rPr>
        <w:t>The funds for RO-RISK projects are assured from POAT 2007-2013 and from POCA 2014-2020.</w:t>
      </w:r>
    </w:p>
    <w:p w:rsidR="009A1E3C" w:rsidRPr="009A1E3C" w:rsidRDefault="009A1E3C" w:rsidP="009A1E3C">
      <w:pPr>
        <w:autoSpaceDE w:val="0"/>
        <w:autoSpaceDN w:val="0"/>
        <w:adjustRightInd w:val="0"/>
        <w:jc w:val="both"/>
        <w:rPr>
          <w:rFonts w:ascii="Calibri" w:hAnsi="Calibri"/>
          <w:lang w:val="en-GB"/>
        </w:rPr>
      </w:pPr>
      <w:r w:rsidRPr="009A1E3C">
        <w:rPr>
          <w:rFonts w:ascii="Calibri" w:hAnsi="Calibri"/>
          <w:lang w:val="en-GB"/>
        </w:rPr>
        <w:t xml:space="preserve">The </w:t>
      </w:r>
      <w:r w:rsidRPr="009A1E3C">
        <w:rPr>
          <w:rFonts w:ascii="Calibri" w:hAnsi="Calibri"/>
        </w:rPr>
        <w:t xml:space="preserve">RO-RISK </w:t>
      </w:r>
      <w:r w:rsidRPr="009A1E3C">
        <w:rPr>
          <w:rFonts w:ascii="Calibri" w:hAnsi="Calibri"/>
          <w:lang w:val="en-GB"/>
        </w:rPr>
        <w:t xml:space="preserve">projects </w:t>
      </w:r>
      <w:r w:rsidRPr="009A1E3C">
        <w:rPr>
          <w:rFonts w:ascii="Calibri" w:hAnsi="Calibri"/>
        </w:rPr>
        <w:t>consist of</w:t>
      </w:r>
      <w:r w:rsidRPr="009A1E3C">
        <w:rPr>
          <w:rFonts w:ascii="Calibri" w:hAnsi="Calibri"/>
          <w:lang w:val="en-GB"/>
        </w:rPr>
        <w:t xml:space="preserve"> the following activities,</w:t>
      </w:r>
      <w:r w:rsidRPr="009A1E3C">
        <w:rPr>
          <w:rFonts w:ascii="Calibri" w:hAnsi="Calibri"/>
        </w:rPr>
        <w:t xml:space="preserve"> considering the criteria used to assess the</w:t>
      </w:r>
      <w:r w:rsidRPr="009A1E3C">
        <w:rPr>
          <w:rFonts w:ascii="Calibri" w:hAnsi="Calibri"/>
          <w:lang w:val="en-GB"/>
        </w:rPr>
        <w:t xml:space="preserve"> ex-ante conditionality fulfilment: </w:t>
      </w:r>
    </w:p>
    <w:p w:rsidR="009A1E3C" w:rsidRPr="009A1E3C" w:rsidRDefault="009A1E3C" w:rsidP="009A1E3C">
      <w:pPr>
        <w:autoSpaceDE w:val="0"/>
        <w:autoSpaceDN w:val="0"/>
        <w:adjustRightInd w:val="0"/>
        <w:ind w:left="360"/>
        <w:jc w:val="both"/>
        <w:rPr>
          <w:rFonts w:ascii="Calibri" w:hAnsi="Calibri"/>
          <w:b/>
          <w:lang w:val="en-GB"/>
        </w:rPr>
      </w:pPr>
    </w:p>
    <w:p w:rsidR="009A1E3C" w:rsidRPr="009A1E3C" w:rsidRDefault="009A1E3C" w:rsidP="009A1E3C">
      <w:pPr>
        <w:autoSpaceDE w:val="0"/>
        <w:autoSpaceDN w:val="0"/>
        <w:adjustRightInd w:val="0"/>
        <w:ind w:left="360"/>
        <w:jc w:val="both"/>
        <w:rPr>
          <w:rFonts w:ascii="Calibri" w:hAnsi="Calibri"/>
          <w:b/>
          <w:lang w:val="en-GB"/>
        </w:rPr>
      </w:pPr>
      <w:r w:rsidRPr="009A1E3C">
        <w:rPr>
          <w:rFonts w:ascii="Calibri" w:hAnsi="Calibri"/>
          <w:b/>
          <w:lang w:val="en-GB"/>
        </w:rPr>
        <w:t>I. A description of the process, methodology, methods and non-sensitive data used for risk assessment as well as the risk-based criteria for th</w:t>
      </w:r>
      <w:r w:rsidRPr="009A1E3C">
        <w:rPr>
          <w:rFonts w:ascii="Calibri" w:hAnsi="Calibri"/>
          <w:b/>
        </w:rPr>
        <w:t>e prioritisation of investment</w:t>
      </w:r>
    </w:p>
    <w:p w:rsidR="009A1E3C" w:rsidRPr="009A1E3C" w:rsidRDefault="009A1E3C" w:rsidP="009A1E3C">
      <w:pPr>
        <w:autoSpaceDE w:val="0"/>
        <w:autoSpaceDN w:val="0"/>
        <w:adjustRightInd w:val="0"/>
        <w:ind w:left="360"/>
        <w:jc w:val="both"/>
        <w:rPr>
          <w:rFonts w:ascii="Calibri" w:hAnsi="Calibri"/>
          <w:b/>
          <w:lang w:val="en-GB"/>
        </w:rPr>
      </w:pP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i/>
          <w:lang w:val="en-GB"/>
        </w:rPr>
        <w:t>Activity 1- Study of legal, regulatory and institutional framework of risk management in Romania</w:t>
      </w:r>
      <w:r w:rsidRPr="009A1E3C">
        <w:rPr>
          <w:rFonts w:ascii="Calibri" w:hAnsi="Calibri"/>
          <w:lang w:val="en-GB"/>
        </w:rPr>
        <w:t xml:space="preserve"> </w:t>
      </w:r>
      <w:r w:rsidRPr="009A1E3C">
        <w:rPr>
          <w:rFonts w:ascii="Calibri" w:hAnsi="Calibri"/>
          <w:i/>
          <w:lang w:val="en-GB"/>
        </w:rPr>
        <w:t>and the risk assessment</w:t>
      </w:r>
      <w:r w:rsidRPr="009A1E3C">
        <w:rPr>
          <w:rFonts w:ascii="Calibri" w:hAnsi="Calibri"/>
        </w:rPr>
        <w:t>, implemented though a TA contract</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rPr>
        <w:t>The study will identify the</w:t>
      </w:r>
      <w:r w:rsidRPr="009A1E3C">
        <w:rPr>
          <w:rFonts w:ascii="Calibri" w:hAnsi="Calibri"/>
          <w:lang w:val="en-GB"/>
        </w:rPr>
        <w:t xml:space="preserve"> gaps and overlapping</w:t>
      </w:r>
      <w:r w:rsidRPr="009A1E3C">
        <w:rPr>
          <w:rFonts w:ascii="Calibri" w:hAnsi="Calibri"/>
        </w:rPr>
        <w:t>s in terms of legal and institutional framework for risk management</w:t>
      </w:r>
      <w:r w:rsidRPr="009A1E3C">
        <w:rPr>
          <w:rFonts w:ascii="Calibri" w:hAnsi="Calibri"/>
          <w:lang w:val="en-GB"/>
        </w:rPr>
        <w:t xml:space="preserve">, proposing measures for improving the legal and procedural framework. The results will establish the basis for setting up a national multi-sectorial mechanism for coordination and integration of risk assessment activities.  </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rPr>
        <w:t>The proposed measures are to be submitted to the National Platform for Disaster Risk Reduction, and their implementation will be monitored at Platform level.</w:t>
      </w:r>
    </w:p>
    <w:p w:rsidR="009A1E3C" w:rsidRPr="009A1E3C" w:rsidRDefault="009A1E3C" w:rsidP="009A1E3C">
      <w:pPr>
        <w:autoSpaceDE w:val="0"/>
        <w:autoSpaceDN w:val="0"/>
        <w:adjustRightInd w:val="0"/>
        <w:spacing w:after="120"/>
        <w:ind w:left="360"/>
        <w:jc w:val="both"/>
        <w:rPr>
          <w:rFonts w:ascii="Calibri" w:hAnsi="Calibri"/>
          <w:lang w:val="en-GB"/>
        </w:rPr>
      </w:pPr>
    </w:p>
    <w:p w:rsidR="009A1E3C" w:rsidRPr="009A1E3C" w:rsidRDefault="009A1E3C" w:rsidP="009A1E3C">
      <w:pPr>
        <w:autoSpaceDE w:val="0"/>
        <w:autoSpaceDN w:val="0"/>
        <w:adjustRightInd w:val="0"/>
        <w:spacing w:after="120"/>
        <w:jc w:val="both"/>
        <w:rPr>
          <w:rFonts w:ascii="Calibri" w:hAnsi="Calibri"/>
          <w:i/>
          <w:lang w:val="en-GB"/>
        </w:rPr>
      </w:pPr>
      <w:r w:rsidRPr="009A1E3C">
        <w:rPr>
          <w:rFonts w:ascii="Calibri" w:hAnsi="Calibri"/>
          <w:b/>
          <w:lang w:val="en-GB"/>
        </w:rPr>
        <w:t xml:space="preserve"> </w:t>
      </w:r>
      <w:r w:rsidRPr="009A1E3C">
        <w:rPr>
          <w:rFonts w:ascii="Calibri" w:hAnsi="Calibri"/>
          <w:i/>
          <w:lang w:val="en-GB"/>
        </w:rPr>
        <w:t>Activity 2- Develop and implement national risk assessment methodology</w:t>
      </w:r>
      <w:r w:rsidRPr="009A1E3C">
        <w:rPr>
          <w:rFonts w:ascii="Calibri" w:hAnsi="Calibri"/>
          <w:i/>
        </w:rPr>
        <w:t xml:space="preserve">, </w:t>
      </w:r>
      <w:r w:rsidRPr="009A1E3C">
        <w:rPr>
          <w:rFonts w:ascii="Calibri" w:hAnsi="Calibri"/>
        </w:rPr>
        <w:t>implemented through a TA contract</w:t>
      </w:r>
    </w:p>
    <w:p w:rsidR="009A1E3C" w:rsidRPr="009A1E3C" w:rsidRDefault="009A1E3C" w:rsidP="009A1E3C">
      <w:pPr>
        <w:jc w:val="both"/>
        <w:rPr>
          <w:rFonts w:ascii="Calibri" w:hAnsi="Calibri"/>
        </w:rPr>
      </w:pPr>
      <w:r w:rsidRPr="009A1E3C">
        <w:rPr>
          <w:rFonts w:ascii="Calibri" w:hAnsi="Calibri"/>
        </w:rPr>
        <w:t xml:space="preserve">The national risk assessment methodology establishes the framework for ensuring the comparability and compatibility of risk assessment in part (to be performed under Activity 4) and will take into account for sectorial methodology existing at national level and the result of other activities. </w:t>
      </w:r>
    </w:p>
    <w:p w:rsidR="009A1E3C" w:rsidRPr="009A1E3C" w:rsidRDefault="009A1E3C" w:rsidP="009A1E3C">
      <w:pPr>
        <w:jc w:val="both"/>
        <w:rPr>
          <w:rFonts w:ascii="Calibri" w:hAnsi="Calibri"/>
        </w:rPr>
      </w:pPr>
    </w:p>
    <w:p w:rsidR="009A1E3C" w:rsidRPr="009A1E3C" w:rsidRDefault="009A1E3C" w:rsidP="009A1E3C">
      <w:pPr>
        <w:jc w:val="both"/>
        <w:rPr>
          <w:rFonts w:ascii="Calibri" w:hAnsi="Calibri"/>
          <w:lang w:val="en-GB"/>
        </w:rPr>
      </w:pPr>
      <w:r w:rsidRPr="009A1E3C">
        <w:rPr>
          <w:rFonts w:ascii="Calibri" w:hAnsi="Calibri"/>
        </w:rPr>
        <w:t xml:space="preserve">The methodology will be developed based on </w:t>
      </w:r>
      <w:r w:rsidRPr="009A1E3C">
        <w:rPr>
          <w:rFonts w:ascii="Calibri" w:hAnsi="Calibri"/>
          <w:lang w:val="en-GB"/>
        </w:rPr>
        <w:t>the Commission Staff Working Paper - Risk Assessment and Mapping Guidelines for Disaster Management / SEC (2010) 1626 and  the requirements of a risk assessment process (ISO 31010)</w:t>
      </w:r>
      <w:r w:rsidRPr="009A1E3C">
        <w:rPr>
          <w:rFonts w:ascii="Calibri" w:hAnsi="Calibri"/>
        </w:rPr>
        <w:t>:</w:t>
      </w:r>
    </w:p>
    <w:p w:rsidR="009A1E3C" w:rsidRPr="009A1E3C" w:rsidRDefault="009A1E3C" w:rsidP="009A1E3C">
      <w:pPr>
        <w:pStyle w:val="ListParagraph"/>
        <w:numPr>
          <w:ilvl w:val="0"/>
          <w:numId w:val="18"/>
        </w:numPr>
        <w:jc w:val="both"/>
        <w:rPr>
          <w:rFonts w:ascii="Calibri" w:eastAsia="Calibri" w:hAnsi="Calibri"/>
          <w:lang w:val="ro-RO"/>
        </w:rPr>
      </w:pPr>
      <w:r w:rsidRPr="009A1E3C">
        <w:rPr>
          <w:rFonts w:ascii="Calibri" w:eastAsia="Calibri" w:hAnsi="Calibri"/>
          <w:lang w:val="ro-RO"/>
        </w:rPr>
        <w:t xml:space="preserve">The risk assessment will involve a wide range of actors and stakeholders, through the National Platform for </w:t>
      </w:r>
      <w:r w:rsidRPr="009A1E3C">
        <w:rPr>
          <w:rFonts w:ascii="Calibri" w:hAnsi="Calibri" w:cs="Arial"/>
          <w:lang w:val="ro-RO"/>
        </w:rPr>
        <w:t xml:space="preserve">Disaster Risk Reduction and GLERN. </w:t>
      </w:r>
      <w:r w:rsidRPr="009A1E3C">
        <w:rPr>
          <w:rFonts w:ascii="Calibri" w:eastAsia="Calibri" w:hAnsi="Calibri"/>
          <w:lang w:val="ro-RO"/>
        </w:rPr>
        <w:t xml:space="preserve">GLERN will comprise representatives of the main public institution managing risks, the representatives of the academic and research instituions, NGOs etc. The main institutions with responsabilities in risk prevention and management were identified though GD No 2228/2004. </w:t>
      </w:r>
      <w:r w:rsidRPr="009A1E3C">
        <w:rPr>
          <w:rFonts w:ascii="Calibri" w:hAnsi="Calibri" w:cs="Arial"/>
          <w:lang w:val="ro-RO"/>
        </w:rPr>
        <w:t xml:space="preserve">The stakeholders will be involved in all staged of risk assessment, starting with drafting the terms of references and during the drafting and accepting the results of the technical assisstance project. </w:t>
      </w:r>
    </w:p>
    <w:p w:rsidR="009A1E3C" w:rsidRPr="009A1E3C" w:rsidRDefault="009A1E3C" w:rsidP="009A1E3C">
      <w:pPr>
        <w:pStyle w:val="ListParagraph"/>
        <w:numPr>
          <w:ilvl w:val="0"/>
          <w:numId w:val="18"/>
        </w:numPr>
        <w:spacing w:after="120"/>
        <w:ind w:left="675" w:hanging="357"/>
        <w:contextualSpacing w:val="0"/>
        <w:jc w:val="both"/>
        <w:rPr>
          <w:rFonts w:ascii="Calibri" w:eastAsia="Calibri" w:hAnsi="Calibri"/>
          <w:lang w:val="ro-RO"/>
        </w:rPr>
      </w:pPr>
      <w:r w:rsidRPr="009A1E3C">
        <w:rPr>
          <w:rFonts w:ascii="Calibri" w:eastAsia="Calibri" w:hAnsi="Calibri"/>
          <w:lang w:val="ro-RO"/>
        </w:rPr>
        <w:t>The methodology to be used, by considering all three categories of impacts (human, economic and environmental, social and political) and will address, where possible, cross-border issues.</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 xml:space="preserve">In order to set up the reference acceptance threshold of risks, based on certain criteria, a study regarding the level of the acceptable risk in Romania will define the level of potential losses considered acceptable in the present social, economic, politic, cultural, technical and environment conditions, in order to establish a general indicator regarding the necessity of disaster risk reduction measures. </w:t>
      </w:r>
      <w:r w:rsidRPr="009A1E3C">
        <w:rPr>
          <w:rFonts w:ascii="Calibri" w:hAnsi="Calibri"/>
        </w:rPr>
        <w:t>The results of the study are to be used when developing the methodology.</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lang w:val="en-GB"/>
        </w:rPr>
        <w:lastRenderedPageBreak/>
        <w:t>The first draft of nation</w:t>
      </w:r>
      <w:r w:rsidRPr="009A1E3C">
        <w:rPr>
          <w:rFonts w:ascii="Calibri" w:hAnsi="Calibri"/>
        </w:rPr>
        <w:t xml:space="preserve">al risk assessment methodology </w:t>
      </w:r>
      <w:r w:rsidRPr="009A1E3C">
        <w:rPr>
          <w:rFonts w:ascii="Calibri" w:hAnsi="Calibri"/>
          <w:lang w:val="en-GB"/>
        </w:rPr>
        <w:t>was drafted by the consultant and agreed upon by the central authorities with responsibilities in ri</w:t>
      </w:r>
      <w:r w:rsidRPr="009A1E3C">
        <w:rPr>
          <w:rFonts w:ascii="Calibri" w:hAnsi="Calibri"/>
        </w:rPr>
        <w:t>sk management (Ministry of Environment, Water and Forests, Ministry of Regional Development and Public Administration, Ministry of Agriculture and Rural Development, Ministry of Health, Ministry of Energy, Ministry of Transport, National Authority for Veterinary and Food Safety, National Commission for Nuclear Activities Control, National Agency for Environmental Protection and National Administration “Romanian Water”) during three one day workshops organized at the end of 2014, respectively at the beginning of 2015 (November, December and January). The methodology is in line with the EU guidelines and were developed integrating the experience and lessons learnt from Netherland, Norway, UK, Germany, Ireland, Switzerland.</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rPr>
        <w:t>The experts drafting the methodology will provide support and guidance during the whole scenario assessment process for each of the 9 risks considered.</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rPr>
        <w:t>The final methodology will be drafted after finalization of the risks assessment, by including the feed-back from the practical application of the first draft of the methodology.</w:t>
      </w:r>
    </w:p>
    <w:p w:rsidR="009A1E3C" w:rsidRPr="009A1E3C" w:rsidRDefault="009A1E3C" w:rsidP="009A1E3C">
      <w:pPr>
        <w:autoSpaceDE w:val="0"/>
        <w:autoSpaceDN w:val="0"/>
        <w:adjustRightInd w:val="0"/>
        <w:ind w:firstLine="360"/>
        <w:jc w:val="both"/>
        <w:rPr>
          <w:rFonts w:ascii="Calibri" w:hAnsi="Calibri"/>
          <w:lang w:val="en-GB"/>
        </w:rPr>
      </w:pPr>
    </w:p>
    <w:p w:rsidR="009A1E3C" w:rsidRPr="009A1E3C" w:rsidRDefault="009A1E3C" w:rsidP="009A1E3C">
      <w:pPr>
        <w:autoSpaceDE w:val="0"/>
        <w:autoSpaceDN w:val="0"/>
        <w:adjustRightInd w:val="0"/>
        <w:jc w:val="both"/>
        <w:rPr>
          <w:rFonts w:ascii="Calibri" w:hAnsi="Calibri"/>
          <w:lang w:val="en-GB"/>
        </w:rPr>
      </w:pPr>
      <w:r w:rsidRPr="009A1E3C">
        <w:rPr>
          <w:rFonts w:ascii="Calibri" w:hAnsi="Calibri"/>
          <w:i/>
          <w:lang w:val="en-GB"/>
        </w:rPr>
        <w:t>Activity 3 - Setting up the database with risk exposure and response capabilities and the development of WebGIS application and GIS portal</w:t>
      </w:r>
      <w:r w:rsidRPr="009A1E3C">
        <w:rPr>
          <w:rFonts w:ascii="Calibri" w:hAnsi="Calibri"/>
          <w:i/>
        </w:rPr>
        <w:t xml:space="preserve">, </w:t>
      </w:r>
      <w:r w:rsidRPr="009A1E3C">
        <w:rPr>
          <w:rFonts w:ascii="Calibri" w:hAnsi="Calibri"/>
        </w:rPr>
        <w:t>implemented through a service contract.</w:t>
      </w:r>
    </w:p>
    <w:p w:rsidR="009A1E3C" w:rsidRPr="009A1E3C" w:rsidRDefault="009A1E3C" w:rsidP="009A1E3C">
      <w:pPr>
        <w:autoSpaceDE w:val="0"/>
        <w:autoSpaceDN w:val="0"/>
        <w:adjustRightInd w:val="0"/>
        <w:jc w:val="both"/>
        <w:rPr>
          <w:rFonts w:ascii="Calibri" w:hAnsi="Calibri"/>
          <w:b/>
        </w:rPr>
      </w:pP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rPr>
        <w:t xml:space="preserve">Activity 3 will have as result </w:t>
      </w:r>
      <w:r w:rsidRPr="009A1E3C">
        <w:rPr>
          <w:rFonts w:ascii="Calibri" w:hAnsi="Calibri"/>
          <w:i/>
          <w:lang w:val="en-GB"/>
        </w:rPr>
        <w:t>development of the database and GIS portal and provision of appropriate</w:t>
      </w:r>
      <w:r w:rsidRPr="009A1E3C">
        <w:rPr>
          <w:rFonts w:ascii="Calibri" w:hAnsi="Calibri"/>
          <w:i/>
        </w:rPr>
        <w:t xml:space="preserve"> IT equipment and software.</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 xml:space="preserve">The GIS application and The WebGIS portal involve development of a GIS for all hazards specific to Romanian territory, a map visualization, geo-processing for GIS instruments in order to determine the multi-risk areas and information sharing, system that will be physically installed at GIES headquarters.   </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In order to be an operational system</w:t>
      </w:r>
      <w:r w:rsidRPr="009A1E3C">
        <w:rPr>
          <w:rFonts w:ascii="Calibri" w:hAnsi="Calibri"/>
        </w:rPr>
        <w:t>,</w:t>
      </w:r>
      <w:r w:rsidRPr="009A1E3C">
        <w:rPr>
          <w:rFonts w:ascii="Calibri" w:hAnsi="Calibri"/>
          <w:lang w:val="en-GB"/>
        </w:rPr>
        <w:t xml:space="preserve"> it is necessary to build a database of all hazards, vulnerabilities and capabilities at administrative-territorial unit level. </w:t>
      </w:r>
      <w:r w:rsidRPr="009A1E3C">
        <w:rPr>
          <w:rFonts w:ascii="Calibri" w:hAnsi="Calibri"/>
        </w:rPr>
        <w:t>Significant part of this</w:t>
      </w:r>
      <w:r w:rsidRPr="009A1E3C">
        <w:rPr>
          <w:rFonts w:ascii="Calibri" w:hAnsi="Calibri"/>
          <w:lang w:val="en-GB"/>
        </w:rPr>
        <w:t xml:space="preserve"> information will be collected by the authorities responsible for risk management, National Agency for Cadastre and Real Estate Publicity (ANCPI) and National Institute for Statistics (INS). Risk assessment involves a wide range of information but parts of this information were never collected. In order to fill this gap</w:t>
      </w:r>
      <w:r w:rsidRPr="009A1E3C">
        <w:rPr>
          <w:rFonts w:ascii="Calibri" w:hAnsi="Calibri"/>
        </w:rPr>
        <w:t>,</w:t>
      </w:r>
      <w:r w:rsidRPr="009A1E3C">
        <w:rPr>
          <w:rFonts w:ascii="Calibri" w:hAnsi="Calibri"/>
          <w:lang w:val="en-GB"/>
        </w:rPr>
        <w:t xml:space="preserve"> it is necessary to collect information from the field, indicating geographical coordinates. Civil protection specific information (e.g. local government buildings, command centres) and other important data for risk assessment will be collected by professional emergency services personnel. </w:t>
      </w:r>
    </w:p>
    <w:p w:rsidR="009A1E3C" w:rsidRPr="009A1E3C" w:rsidRDefault="009A1E3C" w:rsidP="009A1E3C">
      <w:pPr>
        <w:autoSpaceDE w:val="0"/>
        <w:autoSpaceDN w:val="0"/>
        <w:adjustRightInd w:val="0"/>
        <w:spacing w:after="120"/>
        <w:jc w:val="both"/>
        <w:rPr>
          <w:rFonts w:ascii="Calibri" w:hAnsi="Calibri"/>
        </w:rPr>
      </w:pPr>
      <w:r w:rsidRPr="009A1E3C">
        <w:rPr>
          <w:rFonts w:ascii="Calibri" w:hAnsi="Calibri"/>
          <w:lang w:val="en-GB"/>
        </w:rPr>
        <w:t>GIS will allow access</w:t>
      </w:r>
      <w:r w:rsidRPr="009A1E3C">
        <w:rPr>
          <w:rFonts w:ascii="Calibri" w:hAnsi="Calibri"/>
        </w:rPr>
        <w:t xml:space="preserve"> on two levels: </w:t>
      </w:r>
      <w:r w:rsidRPr="009A1E3C">
        <w:rPr>
          <w:rFonts w:ascii="Calibri" w:hAnsi="Calibri"/>
          <w:lang w:val="en-GB"/>
        </w:rPr>
        <w:t>first</w:t>
      </w:r>
      <w:r w:rsidRPr="009A1E3C">
        <w:rPr>
          <w:rFonts w:ascii="Calibri" w:hAnsi="Calibri"/>
        </w:rPr>
        <w:t>ly,</w:t>
      </w:r>
      <w:r w:rsidRPr="009A1E3C">
        <w:rPr>
          <w:rFonts w:ascii="Calibri" w:hAnsi="Calibri"/>
          <w:lang w:val="en-GB"/>
        </w:rPr>
        <w:t xml:space="preserve"> for authorities with responsibilities in risk management, which can input, modify and update data about risk (hazard, hazard maps, risk maps, exposure)</w:t>
      </w:r>
      <w:r w:rsidRPr="009A1E3C">
        <w:rPr>
          <w:rFonts w:ascii="Calibri" w:hAnsi="Calibri"/>
        </w:rPr>
        <w:t xml:space="preserve">, </w:t>
      </w:r>
      <w:r w:rsidRPr="009A1E3C">
        <w:rPr>
          <w:rFonts w:ascii="Calibri" w:hAnsi="Calibri"/>
          <w:lang w:val="en-GB"/>
        </w:rPr>
        <w:t>and second</w:t>
      </w:r>
      <w:r w:rsidRPr="009A1E3C">
        <w:rPr>
          <w:rFonts w:ascii="Calibri" w:hAnsi="Calibri"/>
        </w:rPr>
        <w:t>ly</w:t>
      </w:r>
      <w:r w:rsidRPr="009A1E3C">
        <w:rPr>
          <w:rFonts w:ascii="Calibri" w:hAnsi="Calibri"/>
          <w:lang w:val="en-GB"/>
        </w:rPr>
        <w:t xml:space="preserve">, </w:t>
      </w:r>
      <w:r w:rsidRPr="009A1E3C">
        <w:rPr>
          <w:rFonts w:ascii="Calibri" w:hAnsi="Calibri"/>
        </w:rPr>
        <w:t xml:space="preserve">to the </w:t>
      </w:r>
      <w:r w:rsidRPr="009A1E3C">
        <w:rPr>
          <w:rFonts w:ascii="Calibri" w:hAnsi="Calibri"/>
          <w:lang w:val="en-GB"/>
        </w:rPr>
        <w:t>public</w:t>
      </w:r>
      <w:r w:rsidRPr="009A1E3C">
        <w:rPr>
          <w:rFonts w:ascii="Calibri" w:hAnsi="Calibri"/>
        </w:rPr>
        <w:t>,</w:t>
      </w:r>
      <w:r w:rsidRPr="009A1E3C">
        <w:rPr>
          <w:rFonts w:ascii="Calibri" w:hAnsi="Calibri"/>
          <w:lang w:val="en-GB"/>
        </w:rPr>
        <w:t xml:space="preserve"> which can only interrogate the database.      </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rPr>
        <w:t xml:space="preserve">The </w:t>
      </w:r>
      <w:r w:rsidRPr="009A1E3C">
        <w:rPr>
          <w:rFonts w:ascii="Calibri" w:hAnsi="Calibri"/>
          <w:lang w:val="en-GB"/>
        </w:rPr>
        <w:t>database and GIS portal</w:t>
      </w:r>
      <w:r w:rsidRPr="009A1E3C">
        <w:rPr>
          <w:rFonts w:ascii="Calibri" w:hAnsi="Calibri"/>
        </w:rPr>
        <w:t xml:space="preserve"> will be developed in parallel with risk assessment process, and at the end of the project, will provide a full image and integrated instruments for risk management.</w:t>
      </w:r>
    </w:p>
    <w:p w:rsidR="009A1E3C" w:rsidRPr="009A1E3C" w:rsidRDefault="009A1E3C" w:rsidP="009A1E3C">
      <w:pPr>
        <w:autoSpaceDE w:val="0"/>
        <w:autoSpaceDN w:val="0"/>
        <w:adjustRightInd w:val="0"/>
        <w:ind w:firstLine="720"/>
        <w:jc w:val="both"/>
        <w:rPr>
          <w:rFonts w:ascii="Calibri" w:hAnsi="Calibri"/>
          <w:lang w:val="en-GB"/>
        </w:rPr>
      </w:pPr>
    </w:p>
    <w:p w:rsidR="009A1E3C" w:rsidRPr="009A1E3C" w:rsidRDefault="009A1E3C" w:rsidP="009A1E3C">
      <w:pPr>
        <w:autoSpaceDE w:val="0"/>
        <w:autoSpaceDN w:val="0"/>
        <w:adjustRightInd w:val="0"/>
        <w:ind w:firstLine="720"/>
        <w:jc w:val="both"/>
        <w:rPr>
          <w:rFonts w:ascii="Calibri" w:hAnsi="Calibri"/>
          <w:lang w:val="en-GB"/>
        </w:rPr>
      </w:pPr>
    </w:p>
    <w:p w:rsidR="009A1E3C" w:rsidRPr="009A1E3C" w:rsidRDefault="009A1E3C" w:rsidP="009A1E3C">
      <w:pPr>
        <w:autoSpaceDE w:val="0"/>
        <w:autoSpaceDN w:val="0"/>
        <w:adjustRightInd w:val="0"/>
        <w:ind w:firstLine="720"/>
        <w:jc w:val="both"/>
        <w:rPr>
          <w:rFonts w:ascii="Calibri" w:hAnsi="Calibri"/>
          <w:lang w:val="en-GB"/>
        </w:rPr>
      </w:pPr>
    </w:p>
    <w:p w:rsidR="009A1E3C" w:rsidRPr="009A1E3C" w:rsidRDefault="009A1E3C" w:rsidP="009A1E3C">
      <w:pPr>
        <w:autoSpaceDE w:val="0"/>
        <w:autoSpaceDN w:val="0"/>
        <w:adjustRightInd w:val="0"/>
        <w:ind w:firstLine="720"/>
        <w:jc w:val="both"/>
        <w:rPr>
          <w:rFonts w:ascii="Calibri" w:hAnsi="Calibri"/>
          <w:lang w:val="en-GB"/>
        </w:rPr>
      </w:pPr>
    </w:p>
    <w:p w:rsidR="009A1E3C" w:rsidRPr="009A1E3C" w:rsidRDefault="009A1E3C" w:rsidP="009A1E3C">
      <w:pPr>
        <w:autoSpaceDE w:val="0"/>
        <w:autoSpaceDN w:val="0"/>
        <w:adjustRightInd w:val="0"/>
        <w:ind w:firstLine="720"/>
        <w:jc w:val="both"/>
        <w:rPr>
          <w:rFonts w:ascii="Calibri" w:hAnsi="Calibri"/>
          <w:lang w:val="en-GB"/>
        </w:rPr>
      </w:pPr>
    </w:p>
    <w:p w:rsidR="009A1E3C" w:rsidRPr="009A1E3C" w:rsidRDefault="009A1E3C" w:rsidP="009A1E3C">
      <w:pPr>
        <w:autoSpaceDE w:val="0"/>
        <w:autoSpaceDN w:val="0"/>
        <w:adjustRightInd w:val="0"/>
        <w:ind w:firstLine="720"/>
        <w:jc w:val="both"/>
        <w:rPr>
          <w:rFonts w:ascii="Calibri" w:hAnsi="Calibri"/>
          <w:lang w:val="en-GB"/>
        </w:rPr>
      </w:pPr>
    </w:p>
    <w:p w:rsidR="009A1E3C" w:rsidRPr="009A1E3C" w:rsidRDefault="009A1E3C" w:rsidP="009A1E3C">
      <w:pPr>
        <w:autoSpaceDE w:val="0"/>
        <w:autoSpaceDN w:val="0"/>
        <w:adjustRightInd w:val="0"/>
        <w:jc w:val="both"/>
        <w:rPr>
          <w:rFonts w:ascii="Calibri" w:hAnsi="Calibri"/>
          <w:b/>
        </w:rPr>
      </w:pPr>
      <w:r w:rsidRPr="009A1E3C">
        <w:rPr>
          <w:rFonts w:ascii="Calibri" w:hAnsi="Calibri"/>
          <w:b/>
          <w:lang w:val="en-GB"/>
        </w:rPr>
        <w:lastRenderedPageBreak/>
        <w:t xml:space="preserve">II. A description of single-risk and multi-risk scenarios    </w:t>
      </w:r>
    </w:p>
    <w:p w:rsidR="009A1E3C" w:rsidRPr="009A1E3C" w:rsidRDefault="009A1E3C" w:rsidP="009A1E3C">
      <w:pPr>
        <w:autoSpaceDE w:val="0"/>
        <w:autoSpaceDN w:val="0"/>
        <w:adjustRightInd w:val="0"/>
        <w:jc w:val="both"/>
        <w:rPr>
          <w:rFonts w:ascii="Calibri" w:hAnsi="Calibri"/>
          <w:b/>
          <w:lang w:val="en-GB"/>
        </w:rPr>
      </w:pPr>
    </w:p>
    <w:p w:rsidR="009A1E3C" w:rsidRPr="009A1E3C" w:rsidRDefault="009A1E3C" w:rsidP="009A1E3C">
      <w:pPr>
        <w:autoSpaceDE w:val="0"/>
        <w:autoSpaceDN w:val="0"/>
        <w:adjustRightInd w:val="0"/>
        <w:jc w:val="both"/>
        <w:rPr>
          <w:rFonts w:ascii="Calibri" w:hAnsi="Calibri"/>
          <w:b/>
        </w:rPr>
      </w:pPr>
      <w:r w:rsidRPr="009A1E3C">
        <w:rPr>
          <w:rFonts w:ascii="Calibri" w:hAnsi="Calibri"/>
          <w:b/>
        </w:rPr>
        <w:t>III. Taking into account, where appropriate, national climate change adaptation strategies</w:t>
      </w:r>
    </w:p>
    <w:p w:rsidR="009A1E3C" w:rsidRPr="009A1E3C" w:rsidRDefault="009A1E3C" w:rsidP="009A1E3C">
      <w:pPr>
        <w:autoSpaceDE w:val="0"/>
        <w:autoSpaceDN w:val="0"/>
        <w:adjustRightInd w:val="0"/>
        <w:jc w:val="both"/>
        <w:rPr>
          <w:rFonts w:ascii="Calibri" w:hAnsi="Calibri"/>
          <w:b/>
          <w:lang w:val="en-GB"/>
        </w:rPr>
      </w:pPr>
    </w:p>
    <w:p w:rsidR="009A1E3C" w:rsidRPr="009A1E3C" w:rsidRDefault="009A1E3C" w:rsidP="009A1E3C">
      <w:pPr>
        <w:numPr>
          <w:ilvl w:val="0"/>
          <w:numId w:val="11"/>
        </w:numPr>
        <w:autoSpaceDE w:val="0"/>
        <w:autoSpaceDN w:val="0"/>
        <w:adjustRightInd w:val="0"/>
        <w:ind w:left="709" w:hanging="425"/>
        <w:jc w:val="both"/>
        <w:rPr>
          <w:rFonts w:ascii="Calibri" w:hAnsi="Calibri"/>
          <w:b/>
          <w:lang w:val="en-GB"/>
        </w:rPr>
      </w:pPr>
      <w:r w:rsidRPr="009A1E3C">
        <w:rPr>
          <w:rFonts w:ascii="Calibri" w:hAnsi="Calibri"/>
          <w:b/>
          <w:lang w:val="en-GB"/>
        </w:rPr>
        <w:t xml:space="preserve">Identification of representative risk scenarios and prioritization of these scenarios in accordance with the criteria established by the methodology </w:t>
      </w:r>
    </w:p>
    <w:p w:rsidR="009A1E3C" w:rsidRPr="009A1E3C" w:rsidRDefault="009A1E3C" w:rsidP="009A1E3C">
      <w:pPr>
        <w:numPr>
          <w:ilvl w:val="0"/>
          <w:numId w:val="11"/>
        </w:numPr>
        <w:autoSpaceDE w:val="0"/>
        <w:autoSpaceDN w:val="0"/>
        <w:adjustRightInd w:val="0"/>
        <w:ind w:left="709" w:hanging="425"/>
        <w:jc w:val="both"/>
        <w:rPr>
          <w:rFonts w:ascii="Calibri" w:hAnsi="Calibri"/>
          <w:b/>
          <w:lang w:val="en-GB"/>
        </w:rPr>
      </w:pPr>
      <w:r w:rsidRPr="009A1E3C">
        <w:rPr>
          <w:rFonts w:ascii="Calibri" w:hAnsi="Calibri"/>
          <w:b/>
          <w:lang w:val="en-GB"/>
        </w:rPr>
        <w:t>Risk scenarios a</w:t>
      </w:r>
      <w:r w:rsidRPr="009A1E3C">
        <w:rPr>
          <w:rFonts w:ascii="Calibri" w:hAnsi="Calibri"/>
          <w:b/>
        </w:rPr>
        <w:t>assessment for each type of risk, considering when appropriate the national climate change adaptation strategies</w:t>
      </w:r>
    </w:p>
    <w:p w:rsidR="009A1E3C" w:rsidRPr="009A1E3C" w:rsidRDefault="009A1E3C" w:rsidP="009A1E3C">
      <w:pPr>
        <w:numPr>
          <w:ilvl w:val="0"/>
          <w:numId w:val="11"/>
        </w:numPr>
        <w:autoSpaceDE w:val="0"/>
        <w:autoSpaceDN w:val="0"/>
        <w:adjustRightInd w:val="0"/>
        <w:ind w:left="709" w:hanging="425"/>
        <w:jc w:val="both"/>
        <w:rPr>
          <w:rFonts w:ascii="Calibri" w:hAnsi="Calibri"/>
          <w:b/>
          <w:lang w:val="en-GB"/>
        </w:rPr>
      </w:pPr>
      <w:r w:rsidRPr="009A1E3C">
        <w:rPr>
          <w:rFonts w:ascii="Calibri" w:hAnsi="Calibri"/>
          <w:b/>
          <w:lang w:val="en-GB"/>
        </w:rPr>
        <w:t xml:space="preserve">Integrating the results of the assessment in a national report </w:t>
      </w:r>
    </w:p>
    <w:p w:rsidR="009A1E3C" w:rsidRPr="009A1E3C" w:rsidRDefault="009A1E3C" w:rsidP="009A1E3C">
      <w:pPr>
        <w:autoSpaceDE w:val="0"/>
        <w:autoSpaceDN w:val="0"/>
        <w:adjustRightInd w:val="0"/>
        <w:spacing w:after="120"/>
        <w:jc w:val="both"/>
        <w:rPr>
          <w:rFonts w:ascii="Calibri" w:hAnsi="Calibri"/>
          <w:i/>
        </w:rPr>
      </w:pPr>
    </w:p>
    <w:p w:rsidR="009A1E3C" w:rsidRPr="009A1E3C" w:rsidRDefault="009A1E3C" w:rsidP="009A1E3C">
      <w:pPr>
        <w:autoSpaceDE w:val="0"/>
        <w:autoSpaceDN w:val="0"/>
        <w:adjustRightInd w:val="0"/>
        <w:spacing w:after="120"/>
        <w:jc w:val="both"/>
        <w:rPr>
          <w:rFonts w:ascii="Calibri" w:hAnsi="Calibri"/>
          <w:i/>
          <w:lang w:val="en-GB"/>
        </w:rPr>
      </w:pPr>
      <w:r w:rsidRPr="009A1E3C">
        <w:rPr>
          <w:rFonts w:ascii="Calibri" w:hAnsi="Calibri"/>
          <w:i/>
          <w:lang w:val="en-GB"/>
        </w:rPr>
        <w:t>Activity 4 - Description and assessment of representative risk scenarios for each of the following nine risks: floods, drought, forest fires, earthquakes, landslides, Seveso accidents, accidents during the transport of dangerous goods, nuclear accidents, epidemics and zoonotic disease, based on the national risk assessment methodology</w:t>
      </w:r>
      <w:r w:rsidRPr="009A1E3C">
        <w:rPr>
          <w:rFonts w:ascii="Calibri" w:hAnsi="Calibri"/>
          <w:i/>
        </w:rPr>
        <w:t xml:space="preserve">, </w:t>
      </w:r>
      <w:r w:rsidRPr="009A1E3C">
        <w:rPr>
          <w:rFonts w:ascii="Calibri" w:hAnsi="Calibri"/>
        </w:rPr>
        <w:t>implemented through a TA contract</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 xml:space="preserve">Assessment of representative risk scenarios for each of the following nine risks: floods, drought, forest fires, earthquakes, landslides, Seveso accidents, accidents during the transport of dangerous goods, nuclear accidents, epidemics and zoonotic disease, </w:t>
      </w:r>
      <w:r w:rsidRPr="009A1E3C">
        <w:rPr>
          <w:rFonts w:ascii="Calibri" w:hAnsi="Calibri"/>
        </w:rPr>
        <w:t xml:space="preserve">will be performed </w:t>
      </w:r>
      <w:r w:rsidRPr="009A1E3C">
        <w:rPr>
          <w:rFonts w:ascii="Calibri" w:hAnsi="Calibri"/>
          <w:lang w:val="en-GB"/>
        </w:rPr>
        <w:t xml:space="preserve">based on the national risk assessment methodology </w:t>
      </w:r>
      <w:r w:rsidRPr="009A1E3C">
        <w:rPr>
          <w:rFonts w:ascii="Calibri" w:hAnsi="Calibri"/>
        </w:rPr>
        <w:t xml:space="preserve">developed under Activity 2. The assessment </w:t>
      </w:r>
      <w:r w:rsidRPr="009A1E3C">
        <w:rPr>
          <w:rFonts w:ascii="Calibri" w:hAnsi="Calibri"/>
          <w:lang w:val="en-GB"/>
        </w:rPr>
        <w:t xml:space="preserve">involves data collection of hazards and hazards maps from authorities and research institutes, national hazard analysis, identification of 40 major risk scenarios for each risk, prioritization and assessment of the first 5 risk scenarios, considered to be representative for Romania, for each type of risk, indicating the value for impact and likelihood (risk matrix).  </w:t>
      </w:r>
    </w:p>
    <w:p w:rsidR="009A1E3C" w:rsidRPr="009A1E3C" w:rsidRDefault="009A1E3C" w:rsidP="009A1E3C">
      <w:pPr>
        <w:autoSpaceDE w:val="0"/>
        <w:autoSpaceDN w:val="0"/>
        <w:adjustRightInd w:val="0"/>
        <w:spacing w:after="120"/>
        <w:jc w:val="both"/>
        <w:rPr>
          <w:rFonts w:ascii="Calibri" w:hAnsi="Calibri"/>
          <w:noProof/>
          <w:lang w:val="en-GB"/>
        </w:rPr>
      </w:pPr>
      <w:r w:rsidRPr="009A1E3C">
        <w:rPr>
          <w:rFonts w:ascii="Calibri" w:hAnsi="Calibri"/>
          <w:lang w:val="en-GB"/>
        </w:rPr>
        <w:t xml:space="preserve">Once the risk assessment process will be done, a report with conclusions </w:t>
      </w:r>
      <w:r w:rsidRPr="009A1E3C">
        <w:rPr>
          <w:rFonts w:ascii="Calibri" w:hAnsi="Calibri"/>
        </w:rPr>
        <w:t>on</w:t>
      </w:r>
      <w:r w:rsidRPr="009A1E3C">
        <w:rPr>
          <w:rFonts w:ascii="Calibri" w:hAnsi="Calibri"/>
          <w:lang w:val="en-GB"/>
        </w:rPr>
        <w:t xml:space="preserve"> the implementation process of risk assessment methodology and also proposals for improvement</w:t>
      </w:r>
      <w:r w:rsidRPr="009A1E3C">
        <w:rPr>
          <w:rFonts w:ascii="Calibri" w:hAnsi="Calibri"/>
        </w:rPr>
        <w:t xml:space="preserve"> will be developed, as part of Activity 2</w:t>
      </w:r>
      <w:r w:rsidRPr="009A1E3C">
        <w:rPr>
          <w:rFonts w:ascii="Calibri" w:hAnsi="Calibri"/>
          <w:lang w:val="en-GB"/>
        </w:rPr>
        <w:t xml:space="preserve">. </w:t>
      </w:r>
    </w:p>
    <w:p w:rsidR="009A1E3C" w:rsidRPr="009A1E3C" w:rsidRDefault="009A1E3C" w:rsidP="009A1E3C">
      <w:pPr>
        <w:autoSpaceDE w:val="0"/>
        <w:autoSpaceDN w:val="0"/>
        <w:adjustRightInd w:val="0"/>
        <w:spacing w:after="120"/>
        <w:jc w:val="both"/>
        <w:rPr>
          <w:rFonts w:ascii="Calibri" w:hAnsi="Calibri"/>
          <w:i/>
          <w:lang w:val="en-GB"/>
        </w:rPr>
      </w:pPr>
      <w:r w:rsidRPr="009A1E3C">
        <w:rPr>
          <w:rFonts w:ascii="Calibri" w:hAnsi="Calibri"/>
          <w:noProof/>
          <w:lang w:val="en-GB"/>
        </w:rPr>
        <w:t xml:space="preserve">Based on proposals for improvement of methodology, risk matrix and also efforts to lower risk level at </w:t>
      </w:r>
      <w:r w:rsidRPr="009A1E3C">
        <w:rPr>
          <w:rFonts w:ascii="Calibri" w:hAnsi="Calibri"/>
          <w:lang w:val="en-GB"/>
        </w:rPr>
        <w:t xml:space="preserve">established thresholds, there will be set up a series of criteria to be used in the prioritization of investments for covering the risks. </w:t>
      </w:r>
      <w:r w:rsidRPr="009A1E3C">
        <w:rPr>
          <w:rFonts w:ascii="Calibri" w:hAnsi="Calibri"/>
          <w:i/>
          <w:lang w:val="en-GB"/>
        </w:rPr>
        <w:t>The prioritization will be agreed among and assumed by the responsible authorities and will take into consideration the economic damages avoided.</w:t>
      </w:r>
    </w:p>
    <w:p w:rsidR="009A1E3C" w:rsidRPr="009A1E3C" w:rsidRDefault="009A1E3C" w:rsidP="009A1E3C">
      <w:pPr>
        <w:autoSpaceDE w:val="0"/>
        <w:autoSpaceDN w:val="0"/>
        <w:adjustRightInd w:val="0"/>
        <w:spacing w:after="120"/>
        <w:jc w:val="both"/>
        <w:rPr>
          <w:rFonts w:ascii="Calibri" w:hAnsi="Calibri"/>
          <w:lang w:val="en-GB"/>
        </w:rPr>
      </w:pPr>
      <w:r w:rsidRPr="009A1E3C">
        <w:rPr>
          <w:rFonts w:ascii="Calibri" w:hAnsi="Calibri"/>
          <w:lang w:val="en-GB"/>
        </w:rPr>
        <w:t>After the assessment of risk scenarios for each risk, it will be elaborated a final report including the results of risk assessment, risk matrix, analysis of uncertainty and concrete proposals for disaster risk reduction, integrated into a unitary document fulfilling all criteria for the  ex-ante conditionality</w:t>
      </w:r>
      <w:r w:rsidRPr="009A1E3C">
        <w:rPr>
          <w:rFonts w:ascii="Calibri" w:hAnsi="Calibri"/>
        </w:rPr>
        <w:t>, including the prioritization of investments.</w:t>
      </w:r>
    </w:p>
    <w:p w:rsidR="009A1E3C" w:rsidRPr="009A1E3C" w:rsidRDefault="009A1E3C" w:rsidP="009A1E3C">
      <w:pPr>
        <w:autoSpaceDE w:val="0"/>
        <w:autoSpaceDN w:val="0"/>
        <w:adjustRightInd w:val="0"/>
        <w:jc w:val="both"/>
        <w:rPr>
          <w:rFonts w:ascii="Calibri" w:hAnsi="Calibri"/>
          <w:lang w:val="ro-RO"/>
        </w:rPr>
      </w:pPr>
      <w:r w:rsidRPr="009A1E3C">
        <w:rPr>
          <w:rFonts w:ascii="Calibri" w:hAnsi="Calibri"/>
          <w:lang w:val="ro-RO"/>
        </w:rPr>
        <w:t xml:space="preserve">In order to involve central authorities with responasbilities in risk management in specific activities related to sectoral risk assessment whithin Activity 4, common orders for establishing dedicated working groups were developed and are on the aproval circuit. </w:t>
      </w:r>
    </w:p>
    <w:p w:rsidR="009A1E3C" w:rsidRPr="009A1E3C" w:rsidRDefault="009A1E3C" w:rsidP="009A1E3C">
      <w:pPr>
        <w:autoSpaceDE w:val="0"/>
        <w:autoSpaceDN w:val="0"/>
        <w:adjustRightInd w:val="0"/>
        <w:jc w:val="both"/>
        <w:rPr>
          <w:rFonts w:ascii="Calibri" w:hAnsi="Calibri"/>
          <w:lang w:val="ro-RO"/>
        </w:rPr>
      </w:pPr>
      <w:r w:rsidRPr="009A1E3C">
        <w:rPr>
          <w:rFonts w:ascii="Calibri" w:hAnsi="Calibri"/>
          <w:lang w:val="ro-RO"/>
        </w:rPr>
        <w:t xml:space="preserve">For the tender opening session, and assessment of tender documentation, reprezentatives from central authorities </w:t>
      </w:r>
      <w:r w:rsidRPr="009A1E3C">
        <w:rPr>
          <w:rFonts w:ascii="Calibri" w:hAnsi="Calibri"/>
        </w:rPr>
        <w:t xml:space="preserve">(Ministry of Environment, Water and Forests, Ministry of Regional Development and Public Administration, Ministry of Agriculture and Rural Development, Ministry of Health, Ministry of Transport, National Authority for Veterinary and Food Safety and National Commission for Nuclear Activities Control) were involved. </w:t>
      </w:r>
      <w:r w:rsidRPr="009A1E3C">
        <w:rPr>
          <w:rFonts w:ascii="Calibri" w:hAnsi="Calibri"/>
          <w:lang w:val="ro-RO"/>
        </w:rPr>
        <w:t xml:space="preserve">  </w:t>
      </w:r>
    </w:p>
    <w:p w:rsidR="009A1E3C" w:rsidRPr="009A1E3C" w:rsidRDefault="009A1E3C" w:rsidP="009A1E3C">
      <w:pPr>
        <w:autoSpaceDE w:val="0"/>
        <w:autoSpaceDN w:val="0"/>
        <w:adjustRightInd w:val="0"/>
        <w:ind w:firstLine="720"/>
        <w:jc w:val="both"/>
        <w:rPr>
          <w:rFonts w:ascii="Calibri" w:hAnsi="Calibri"/>
        </w:rPr>
      </w:pPr>
    </w:p>
    <w:p w:rsidR="009A1E3C" w:rsidRPr="009A1E3C" w:rsidRDefault="009A1E3C" w:rsidP="009A1E3C">
      <w:pPr>
        <w:autoSpaceDE w:val="0"/>
        <w:autoSpaceDN w:val="0"/>
        <w:adjustRightInd w:val="0"/>
        <w:ind w:firstLine="720"/>
        <w:jc w:val="both"/>
        <w:rPr>
          <w:rFonts w:ascii="Calibri" w:hAnsi="Calibri"/>
        </w:rPr>
      </w:pPr>
    </w:p>
    <w:p w:rsidR="009A1E3C" w:rsidRPr="009A1E3C" w:rsidRDefault="009A1E3C" w:rsidP="009A1E3C">
      <w:pPr>
        <w:numPr>
          <w:ilvl w:val="0"/>
          <w:numId w:val="20"/>
        </w:numPr>
        <w:autoSpaceDE w:val="0"/>
        <w:autoSpaceDN w:val="0"/>
        <w:adjustRightInd w:val="0"/>
        <w:rPr>
          <w:rFonts w:ascii="Calibri" w:hAnsi="Calibri"/>
          <w:b/>
          <w:noProof/>
          <w:sz w:val="28"/>
          <w:szCs w:val="28"/>
          <w:lang w:val="en-GB"/>
        </w:rPr>
      </w:pPr>
      <w:r w:rsidRPr="009A1E3C">
        <w:rPr>
          <w:rFonts w:ascii="Calibri" w:hAnsi="Calibri"/>
          <w:b/>
          <w:sz w:val="28"/>
          <w:szCs w:val="28"/>
        </w:rPr>
        <w:lastRenderedPageBreak/>
        <w:t>Risks that</w:t>
      </w:r>
      <w:r w:rsidRPr="009A1E3C">
        <w:rPr>
          <w:rFonts w:ascii="Calibri" w:hAnsi="Calibri"/>
          <w:b/>
          <w:noProof/>
          <w:sz w:val="28"/>
          <w:szCs w:val="28"/>
          <w:lang w:val="en-GB"/>
        </w:rPr>
        <w:t xml:space="preserve"> may impact on the </w:t>
      </w:r>
      <w:r w:rsidRPr="009A1E3C">
        <w:rPr>
          <w:rFonts w:ascii="Calibri" w:hAnsi="Calibri"/>
          <w:b/>
          <w:sz w:val="28"/>
          <w:szCs w:val="28"/>
          <w:lang w:val="en-GB"/>
        </w:rPr>
        <w:t>fulfilment of ex-ante conditionality</w:t>
      </w:r>
    </w:p>
    <w:p w:rsidR="009A1E3C" w:rsidRPr="009A1E3C" w:rsidRDefault="009A1E3C" w:rsidP="009A1E3C">
      <w:pPr>
        <w:autoSpaceDE w:val="0"/>
        <w:autoSpaceDN w:val="0"/>
        <w:adjustRightInd w:val="0"/>
        <w:ind w:firstLine="720"/>
        <w:jc w:val="both"/>
        <w:rPr>
          <w:rFonts w:ascii="Calibri" w:hAnsi="Calibri"/>
          <w:noProof/>
          <w:lang w:val="en-GB"/>
        </w:rPr>
      </w:pPr>
    </w:p>
    <w:p w:rsidR="009A1E3C" w:rsidRPr="009A1E3C" w:rsidRDefault="009A1E3C" w:rsidP="009A1E3C">
      <w:pPr>
        <w:tabs>
          <w:tab w:val="left" w:pos="2580"/>
        </w:tabs>
        <w:rPr>
          <w:rFonts w:ascii="Calibri" w:hAnsi="Calibri"/>
          <w:lang w:val="en-GB"/>
        </w:rPr>
      </w:pPr>
      <w:r w:rsidRPr="009A1E3C">
        <w:rPr>
          <w:rFonts w:ascii="Calibri" w:hAnsi="Calibri"/>
          <w:lang w:val="en-GB"/>
        </w:rPr>
        <w:t>Impediments that can occur and which may lead to non-fulfilment of ex-ante conditionality:</w:t>
      </w:r>
    </w:p>
    <w:p w:rsidR="009A1E3C" w:rsidRPr="009A1E3C" w:rsidRDefault="009A1E3C" w:rsidP="009A1E3C">
      <w:pPr>
        <w:tabs>
          <w:tab w:val="left" w:pos="2580"/>
        </w:tabs>
        <w:rPr>
          <w:rFonts w:ascii="Calibri" w:hAnsi="Calibri"/>
          <w:lang w:val="en-GB"/>
        </w:rPr>
      </w:pPr>
    </w:p>
    <w:p w:rsidR="009A1E3C" w:rsidRPr="009A1E3C" w:rsidRDefault="009A1E3C" w:rsidP="009A1E3C">
      <w:pPr>
        <w:numPr>
          <w:ilvl w:val="0"/>
          <w:numId w:val="9"/>
        </w:numPr>
        <w:tabs>
          <w:tab w:val="left" w:pos="2580"/>
        </w:tabs>
        <w:rPr>
          <w:rFonts w:ascii="Calibri" w:hAnsi="Calibri"/>
          <w:lang w:val="en-GB"/>
        </w:rPr>
      </w:pPr>
      <w:r w:rsidRPr="009A1E3C">
        <w:rPr>
          <w:rFonts w:ascii="Calibri" w:hAnsi="Calibri"/>
          <w:lang w:val="en-GB"/>
        </w:rPr>
        <w:t xml:space="preserve">Delays in public procurement process for risks evaluation, taking into account the complexity of the procedure </w:t>
      </w:r>
      <w:r w:rsidRPr="009A1E3C">
        <w:rPr>
          <w:rFonts w:ascii="Calibri" w:hAnsi="Calibri"/>
        </w:rPr>
        <w:t xml:space="preserve">for risk assessment </w:t>
      </w:r>
      <w:r w:rsidRPr="009A1E3C">
        <w:rPr>
          <w:rFonts w:ascii="Calibri" w:hAnsi="Calibri"/>
          <w:lang w:val="en-GB"/>
        </w:rPr>
        <w:t>(9 lots) and possible appeals.</w:t>
      </w:r>
    </w:p>
    <w:p w:rsidR="009A1E3C" w:rsidRPr="009A1E3C" w:rsidRDefault="009A1E3C" w:rsidP="009A1E3C">
      <w:pPr>
        <w:pStyle w:val="ListParagraph"/>
        <w:numPr>
          <w:ilvl w:val="0"/>
          <w:numId w:val="19"/>
        </w:numPr>
        <w:tabs>
          <w:tab w:val="left" w:pos="1134"/>
        </w:tabs>
        <w:rPr>
          <w:rFonts w:ascii="Calibri" w:hAnsi="Calibri"/>
        </w:rPr>
      </w:pPr>
      <w:r w:rsidRPr="009A1E3C">
        <w:rPr>
          <w:rFonts w:ascii="Calibri" w:hAnsi="Calibri"/>
        </w:rPr>
        <w:t xml:space="preserve">Measures to avoid and reduce the impact: </w:t>
      </w:r>
    </w:p>
    <w:p w:rsidR="009A1E3C" w:rsidRPr="009A1E3C" w:rsidRDefault="009A1E3C" w:rsidP="009A1E3C">
      <w:pPr>
        <w:numPr>
          <w:ilvl w:val="2"/>
          <w:numId w:val="9"/>
        </w:numPr>
        <w:tabs>
          <w:tab w:val="left" w:pos="2580"/>
        </w:tabs>
        <w:jc w:val="both"/>
        <w:rPr>
          <w:rFonts w:ascii="Calibri" w:hAnsi="Calibri"/>
          <w:lang w:val="en-GB"/>
        </w:rPr>
      </w:pPr>
      <w:r w:rsidRPr="009A1E3C">
        <w:rPr>
          <w:rFonts w:ascii="Calibri" w:hAnsi="Calibri"/>
        </w:rPr>
        <w:t>T</w:t>
      </w:r>
      <w:r w:rsidRPr="009A1E3C">
        <w:rPr>
          <w:rFonts w:ascii="Calibri" w:hAnsi="Calibri"/>
          <w:lang w:val="en-GB"/>
        </w:rPr>
        <w:t xml:space="preserve">he maximum </w:t>
      </w:r>
      <w:r w:rsidRPr="009A1E3C">
        <w:rPr>
          <w:rFonts w:ascii="Calibri" w:hAnsi="Calibri"/>
        </w:rPr>
        <w:t>legal</w:t>
      </w:r>
      <w:r w:rsidRPr="009A1E3C">
        <w:rPr>
          <w:rFonts w:ascii="Calibri" w:hAnsi="Calibri"/>
          <w:lang w:val="en-GB"/>
        </w:rPr>
        <w:t xml:space="preserve"> deadlines </w:t>
      </w:r>
      <w:r w:rsidRPr="009A1E3C">
        <w:rPr>
          <w:rFonts w:ascii="Calibri" w:hAnsi="Calibri"/>
        </w:rPr>
        <w:t xml:space="preserve">have been taken into account </w:t>
      </w:r>
      <w:r w:rsidRPr="009A1E3C">
        <w:rPr>
          <w:rFonts w:ascii="Calibri" w:hAnsi="Calibri"/>
          <w:lang w:val="en-GB"/>
        </w:rPr>
        <w:t xml:space="preserve">when </w:t>
      </w:r>
      <w:r w:rsidRPr="009A1E3C">
        <w:rPr>
          <w:rFonts w:ascii="Calibri" w:hAnsi="Calibri"/>
        </w:rPr>
        <w:t xml:space="preserve">establishing the schedule </w:t>
      </w:r>
      <w:r w:rsidRPr="009A1E3C">
        <w:rPr>
          <w:rFonts w:ascii="Calibri" w:hAnsi="Calibri"/>
          <w:lang w:val="en-GB"/>
        </w:rPr>
        <w:t>for each activity;</w:t>
      </w:r>
    </w:p>
    <w:p w:rsidR="009A1E3C" w:rsidRPr="009A1E3C" w:rsidRDefault="009A1E3C" w:rsidP="009A1E3C">
      <w:pPr>
        <w:numPr>
          <w:ilvl w:val="2"/>
          <w:numId w:val="9"/>
        </w:numPr>
        <w:tabs>
          <w:tab w:val="left" w:pos="2580"/>
        </w:tabs>
        <w:jc w:val="both"/>
        <w:rPr>
          <w:rFonts w:ascii="Calibri" w:hAnsi="Calibri"/>
          <w:lang w:val="en-GB"/>
        </w:rPr>
      </w:pPr>
      <w:r w:rsidRPr="009A1E3C">
        <w:rPr>
          <w:rFonts w:ascii="Calibri" w:hAnsi="Calibri"/>
        </w:rPr>
        <w:t xml:space="preserve">The </w:t>
      </w:r>
      <w:r w:rsidRPr="009A1E3C">
        <w:rPr>
          <w:rFonts w:ascii="Calibri" w:hAnsi="Calibri"/>
          <w:lang w:val="en-GB"/>
        </w:rPr>
        <w:t xml:space="preserve">clarity of tender documentation </w:t>
      </w:r>
      <w:r w:rsidRPr="009A1E3C">
        <w:rPr>
          <w:rFonts w:ascii="Calibri" w:hAnsi="Calibri"/>
        </w:rPr>
        <w:t xml:space="preserve">was ensured </w:t>
      </w:r>
      <w:r w:rsidRPr="009A1E3C">
        <w:rPr>
          <w:rFonts w:ascii="Calibri" w:hAnsi="Calibri"/>
          <w:lang w:val="en-GB"/>
        </w:rPr>
        <w:t>in order to reduce the incidence of requests for clarification.</w:t>
      </w:r>
    </w:p>
    <w:p w:rsidR="009A1E3C" w:rsidRPr="009A1E3C" w:rsidRDefault="009A1E3C" w:rsidP="009A1E3C">
      <w:pPr>
        <w:numPr>
          <w:ilvl w:val="2"/>
          <w:numId w:val="9"/>
        </w:numPr>
        <w:tabs>
          <w:tab w:val="left" w:pos="2580"/>
        </w:tabs>
        <w:jc w:val="both"/>
        <w:rPr>
          <w:rFonts w:ascii="Calibri" w:hAnsi="Calibri"/>
          <w:lang w:val="en-GB"/>
        </w:rPr>
      </w:pPr>
      <w:r w:rsidRPr="009A1E3C">
        <w:rPr>
          <w:rFonts w:ascii="Calibri" w:hAnsi="Calibri"/>
          <w:lang w:val="en-GB"/>
        </w:rPr>
        <w:t>In case of failure of the procurement procedure, a second solution is to be provided with ESF support, through a partnership pro</w:t>
      </w:r>
      <w:r>
        <w:rPr>
          <w:rFonts w:ascii="Calibri" w:hAnsi="Calibri"/>
          <w:lang w:val="en-GB"/>
        </w:rPr>
        <w:t>ject with research institutes or</w:t>
      </w:r>
      <w:r w:rsidRPr="009A1E3C">
        <w:rPr>
          <w:rFonts w:ascii="Calibri" w:hAnsi="Calibri"/>
          <w:lang w:val="en-GB"/>
        </w:rPr>
        <w:t xml:space="preserve"> </w:t>
      </w:r>
      <w:r>
        <w:rPr>
          <w:rFonts w:ascii="Calibri" w:hAnsi="Calibri"/>
          <w:lang w:val="en-GB"/>
        </w:rPr>
        <w:t xml:space="preserve">with </w:t>
      </w:r>
      <w:r w:rsidRPr="009A1E3C">
        <w:rPr>
          <w:rFonts w:ascii="Calibri" w:hAnsi="Calibri"/>
          <w:lang w:val="en-GB"/>
        </w:rPr>
        <w:t>World Bank support (OPAC)</w:t>
      </w:r>
    </w:p>
    <w:p w:rsidR="009A1E3C" w:rsidRPr="009A1E3C" w:rsidRDefault="009A1E3C" w:rsidP="009A1E3C">
      <w:pPr>
        <w:tabs>
          <w:tab w:val="left" w:pos="2580"/>
        </w:tabs>
        <w:rPr>
          <w:rFonts w:ascii="Calibri" w:hAnsi="Calibri"/>
          <w:lang w:val="en-GB"/>
        </w:rPr>
      </w:pPr>
    </w:p>
    <w:p w:rsidR="009A1E3C" w:rsidRPr="009A1E3C" w:rsidRDefault="009A1E3C" w:rsidP="009A1E3C">
      <w:pPr>
        <w:numPr>
          <w:ilvl w:val="0"/>
          <w:numId w:val="9"/>
        </w:numPr>
        <w:tabs>
          <w:tab w:val="left" w:pos="2580"/>
        </w:tabs>
        <w:rPr>
          <w:rFonts w:ascii="Calibri" w:hAnsi="Calibri"/>
          <w:lang w:val="en-GB"/>
        </w:rPr>
      </w:pPr>
      <w:r w:rsidRPr="009A1E3C">
        <w:rPr>
          <w:rFonts w:ascii="Calibri" w:hAnsi="Calibri"/>
          <w:lang w:val="en-GB"/>
        </w:rPr>
        <w:t xml:space="preserve">Poor involvement of authorities </w:t>
      </w:r>
      <w:r w:rsidRPr="009A1E3C">
        <w:rPr>
          <w:rFonts w:ascii="Calibri" w:hAnsi="Calibri"/>
        </w:rPr>
        <w:t xml:space="preserve">responsible with risk management </w:t>
      </w:r>
      <w:r w:rsidRPr="009A1E3C">
        <w:rPr>
          <w:rFonts w:ascii="Calibri" w:hAnsi="Calibri"/>
          <w:lang w:val="en-GB"/>
        </w:rPr>
        <w:t>in project activities</w:t>
      </w:r>
      <w:r w:rsidRPr="009A1E3C">
        <w:rPr>
          <w:rFonts w:ascii="Calibri" w:hAnsi="Calibri"/>
        </w:rPr>
        <w:t>.</w:t>
      </w:r>
    </w:p>
    <w:p w:rsidR="009A1E3C" w:rsidRPr="009A1E3C" w:rsidRDefault="009A1E3C" w:rsidP="009A1E3C">
      <w:pPr>
        <w:pStyle w:val="ListParagraph"/>
        <w:numPr>
          <w:ilvl w:val="0"/>
          <w:numId w:val="19"/>
        </w:numPr>
        <w:tabs>
          <w:tab w:val="left" w:pos="1134"/>
        </w:tabs>
        <w:jc w:val="both"/>
        <w:rPr>
          <w:rFonts w:ascii="Calibri" w:hAnsi="Calibri"/>
        </w:rPr>
      </w:pPr>
      <w:r w:rsidRPr="009A1E3C">
        <w:rPr>
          <w:rFonts w:ascii="Calibri" w:hAnsi="Calibri"/>
        </w:rPr>
        <w:t xml:space="preserve">Measures to avoi and reduce the impact: </w:t>
      </w:r>
    </w:p>
    <w:p w:rsidR="009A1E3C" w:rsidRPr="009A1E3C" w:rsidRDefault="009A1E3C" w:rsidP="009A1E3C">
      <w:pPr>
        <w:numPr>
          <w:ilvl w:val="2"/>
          <w:numId w:val="9"/>
        </w:numPr>
        <w:tabs>
          <w:tab w:val="left" w:pos="2580"/>
        </w:tabs>
        <w:jc w:val="both"/>
        <w:rPr>
          <w:rFonts w:ascii="Calibri" w:hAnsi="Calibri"/>
          <w:lang w:val="en-GB"/>
        </w:rPr>
      </w:pPr>
      <w:r w:rsidRPr="009A1E3C">
        <w:rPr>
          <w:rFonts w:ascii="Calibri" w:hAnsi="Calibri"/>
          <w:lang w:val="en-GB"/>
        </w:rPr>
        <w:t>increase the no. of high level formal written correspondence with the responsible authorities in order to assure a better cooperation;</w:t>
      </w:r>
    </w:p>
    <w:p w:rsidR="009A1E3C" w:rsidRPr="009A1E3C" w:rsidRDefault="009A1E3C" w:rsidP="009A1E3C">
      <w:pPr>
        <w:numPr>
          <w:ilvl w:val="2"/>
          <w:numId w:val="9"/>
        </w:numPr>
        <w:tabs>
          <w:tab w:val="left" w:pos="2580"/>
        </w:tabs>
        <w:jc w:val="both"/>
        <w:rPr>
          <w:rFonts w:ascii="Calibri" w:hAnsi="Calibri"/>
          <w:lang w:val="en-GB"/>
        </w:rPr>
      </w:pPr>
      <w:r w:rsidRPr="009A1E3C">
        <w:rPr>
          <w:rFonts w:ascii="Calibri" w:hAnsi="Calibri"/>
          <w:lang w:val="en-GB"/>
        </w:rPr>
        <w:t>increase the informal cooperation with the experts within responsible authorities;</w:t>
      </w:r>
    </w:p>
    <w:p w:rsidR="009A1E3C" w:rsidRPr="009A1E3C" w:rsidRDefault="009A1E3C" w:rsidP="009A1E3C">
      <w:pPr>
        <w:numPr>
          <w:ilvl w:val="2"/>
          <w:numId w:val="9"/>
        </w:numPr>
        <w:tabs>
          <w:tab w:val="left" w:pos="2580"/>
        </w:tabs>
        <w:jc w:val="both"/>
        <w:rPr>
          <w:rFonts w:ascii="Calibri" w:hAnsi="Calibri"/>
          <w:lang w:val="en-GB"/>
        </w:rPr>
      </w:pPr>
      <w:r w:rsidRPr="009A1E3C">
        <w:rPr>
          <w:rFonts w:ascii="Calibri" w:hAnsi="Calibri"/>
          <w:lang w:val="en-GB"/>
        </w:rPr>
        <w:t>involving the responsible authorities in working groups and workshops dedicated to the implementation of the project activities;</w:t>
      </w:r>
    </w:p>
    <w:p w:rsidR="009A1E3C" w:rsidRPr="009A1E3C" w:rsidRDefault="009A1E3C" w:rsidP="009A1E3C">
      <w:pPr>
        <w:tabs>
          <w:tab w:val="left" w:pos="2580"/>
        </w:tabs>
        <w:rPr>
          <w:rFonts w:ascii="Calibri" w:hAnsi="Calibri"/>
          <w:lang w:val="en-GB"/>
        </w:rPr>
      </w:pPr>
      <w:r w:rsidRPr="009A1E3C">
        <w:rPr>
          <w:rFonts w:ascii="Calibri" w:hAnsi="Calibri"/>
          <w:lang w:val="en-GB"/>
        </w:rPr>
        <w:t xml:space="preserve">                                                   </w:t>
      </w:r>
    </w:p>
    <w:p w:rsidR="009A1E3C" w:rsidRPr="009A1E3C" w:rsidRDefault="009A1E3C" w:rsidP="009A1E3C">
      <w:pPr>
        <w:numPr>
          <w:ilvl w:val="0"/>
          <w:numId w:val="9"/>
        </w:numPr>
        <w:tabs>
          <w:tab w:val="left" w:pos="2580"/>
        </w:tabs>
        <w:jc w:val="both"/>
        <w:rPr>
          <w:rFonts w:ascii="Calibri" w:hAnsi="Calibri"/>
          <w:lang w:val="en-GB"/>
        </w:rPr>
      </w:pPr>
      <w:r w:rsidRPr="009A1E3C">
        <w:rPr>
          <w:rFonts w:ascii="Calibri" w:hAnsi="Calibri"/>
          <w:lang w:val="en-GB"/>
        </w:rPr>
        <w:t>Failure of legal framework approval - National Platform on Disaster Risk Reduction and National Working Group on Risk Assessment</w:t>
      </w:r>
      <w:r w:rsidRPr="009A1E3C">
        <w:rPr>
          <w:rFonts w:ascii="Calibri" w:hAnsi="Calibri"/>
          <w:noProof/>
          <w:lang w:val="en-GB"/>
        </w:rPr>
        <w:t xml:space="preserve"> (</w:t>
      </w:r>
      <w:r w:rsidRPr="009A1E3C">
        <w:rPr>
          <w:rFonts w:ascii="Calibri" w:hAnsi="Calibri"/>
          <w:lang w:val="en-GB"/>
        </w:rPr>
        <w:t xml:space="preserve">basis for setting up a national </w:t>
      </w:r>
      <w:r w:rsidRPr="009A1E3C">
        <w:rPr>
          <w:rFonts w:ascii="Calibri" w:hAnsi="Calibri"/>
        </w:rPr>
        <w:t>m</w:t>
      </w:r>
      <w:r w:rsidRPr="009A1E3C">
        <w:rPr>
          <w:rFonts w:ascii="Calibri" w:hAnsi="Calibri"/>
          <w:lang w:val="en-GB"/>
        </w:rPr>
        <w:t>ultisectorial mechanism for coordination and integration of risk assessment activities</w:t>
      </w:r>
      <w:r w:rsidRPr="009A1E3C">
        <w:rPr>
          <w:rFonts w:ascii="Calibri" w:hAnsi="Calibri"/>
          <w:noProof/>
          <w:lang w:val="en-GB"/>
        </w:rPr>
        <w:t>)</w:t>
      </w:r>
    </w:p>
    <w:p w:rsidR="009A1E3C" w:rsidRPr="009A1E3C" w:rsidRDefault="009A1E3C" w:rsidP="009A1E3C">
      <w:pPr>
        <w:pStyle w:val="ListParagraph"/>
        <w:numPr>
          <w:ilvl w:val="0"/>
          <w:numId w:val="19"/>
        </w:numPr>
        <w:tabs>
          <w:tab w:val="left" w:pos="1418"/>
        </w:tabs>
        <w:rPr>
          <w:rFonts w:ascii="Calibri" w:hAnsi="Calibri"/>
        </w:rPr>
      </w:pPr>
      <w:r w:rsidRPr="009A1E3C">
        <w:rPr>
          <w:rFonts w:ascii="Calibri" w:hAnsi="Calibri"/>
        </w:rPr>
        <w:t>Measures to avoid and reduce the impact:</w:t>
      </w:r>
    </w:p>
    <w:p w:rsidR="009A1E3C" w:rsidRPr="009A1E3C" w:rsidRDefault="009A1E3C" w:rsidP="009A1E3C">
      <w:pPr>
        <w:numPr>
          <w:ilvl w:val="2"/>
          <w:numId w:val="9"/>
        </w:numPr>
        <w:tabs>
          <w:tab w:val="left" w:pos="2580"/>
        </w:tabs>
        <w:rPr>
          <w:rFonts w:ascii="Calibri" w:hAnsi="Calibri"/>
        </w:rPr>
      </w:pPr>
      <w:r w:rsidRPr="009A1E3C">
        <w:rPr>
          <w:rFonts w:ascii="Calibri" w:hAnsi="Calibri"/>
        </w:rPr>
        <w:t xml:space="preserve">Resumption </w:t>
      </w:r>
      <w:r w:rsidRPr="009A1E3C">
        <w:rPr>
          <w:rFonts w:ascii="Calibri" w:hAnsi="Calibri"/>
          <w:lang w:val="en-GB"/>
        </w:rPr>
        <w:t xml:space="preserve">of steps for approval of legal framework.  </w:t>
      </w:r>
    </w:p>
    <w:p w:rsidR="009A1E3C" w:rsidRPr="009A1E3C" w:rsidRDefault="009A1E3C" w:rsidP="009A1E3C">
      <w:pPr>
        <w:numPr>
          <w:ilvl w:val="2"/>
          <w:numId w:val="9"/>
        </w:numPr>
        <w:tabs>
          <w:tab w:val="left" w:pos="2580"/>
        </w:tabs>
        <w:rPr>
          <w:rFonts w:ascii="Calibri" w:hAnsi="Calibri"/>
          <w:lang w:val="en-GB"/>
        </w:rPr>
      </w:pPr>
      <w:r w:rsidRPr="009A1E3C">
        <w:rPr>
          <w:rFonts w:ascii="Calibri" w:hAnsi="Calibri"/>
        </w:rPr>
        <w:t>Approval of project results through informal cooperation and usual cooperation procedures, until the institutions are in place.</w:t>
      </w:r>
    </w:p>
    <w:p w:rsidR="009A1E3C" w:rsidRPr="009A1E3C" w:rsidRDefault="009A1E3C" w:rsidP="009A1E3C">
      <w:pPr>
        <w:tabs>
          <w:tab w:val="left" w:pos="2580"/>
        </w:tabs>
        <w:rPr>
          <w:rFonts w:ascii="Calibri" w:hAnsi="Calibri"/>
          <w:lang w:val="en-GB"/>
        </w:rPr>
      </w:pPr>
    </w:p>
    <w:p w:rsidR="009A1E3C" w:rsidRPr="009A1E3C" w:rsidRDefault="009A1E3C" w:rsidP="009A1E3C">
      <w:pPr>
        <w:tabs>
          <w:tab w:val="left" w:pos="2580"/>
        </w:tabs>
        <w:rPr>
          <w:rFonts w:ascii="Calibri" w:hAnsi="Calibri"/>
          <w:lang w:val="en-GB"/>
        </w:rPr>
      </w:pPr>
    </w:p>
    <w:p w:rsidR="009A1E3C" w:rsidRPr="009A1E3C" w:rsidRDefault="009A1E3C" w:rsidP="009A1E3C">
      <w:pPr>
        <w:tabs>
          <w:tab w:val="left" w:pos="2580"/>
        </w:tabs>
        <w:rPr>
          <w:rFonts w:ascii="Calibri" w:hAnsi="Calibri"/>
          <w:lang w:val="en-GB"/>
        </w:rPr>
      </w:pPr>
    </w:p>
    <w:p w:rsidR="009A1E3C" w:rsidRPr="009A1E3C" w:rsidRDefault="009A1E3C" w:rsidP="009A1E3C">
      <w:pPr>
        <w:numPr>
          <w:ilvl w:val="0"/>
          <w:numId w:val="20"/>
        </w:numPr>
        <w:autoSpaceDE w:val="0"/>
        <w:autoSpaceDN w:val="0"/>
        <w:adjustRightInd w:val="0"/>
        <w:rPr>
          <w:rFonts w:ascii="Calibri" w:hAnsi="Calibri"/>
          <w:b/>
          <w:sz w:val="28"/>
          <w:szCs w:val="28"/>
        </w:rPr>
      </w:pPr>
      <w:r w:rsidRPr="009A1E3C">
        <w:rPr>
          <w:rFonts w:ascii="Calibri" w:hAnsi="Calibri"/>
          <w:b/>
          <w:sz w:val="28"/>
          <w:szCs w:val="28"/>
        </w:rPr>
        <w:t>Monitoring procedure</w:t>
      </w:r>
    </w:p>
    <w:p w:rsidR="009A1E3C" w:rsidRPr="009A1E3C" w:rsidRDefault="009A1E3C" w:rsidP="009A1E3C">
      <w:pPr>
        <w:autoSpaceDE w:val="0"/>
        <w:autoSpaceDN w:val="0"/>
        <w:adjustRightInd w:val="0"/>
        <w:jc w:val="center"/>
        <w:rPr>
          <w:rFonts w:ascii="Calibri" w:hAnsi="Calibri"/>
          <w:b/>
          <w:sz w:val="28"/>
          <w:szCs w:val="28"/>
        </w:rPr>
      </w:pPr>
    </w:p>
    <w:p w:rsidR="009A1E3C" w:rsidRPr="009A1E3C" w:rsidRDefault="009A1E3C" w:rsidP="009A1E3C">
      <w:pPr>
        <w:tabs>
          <w:tab w:val="left" w:pos="2580"/>
        </w:tabs>
        <w:jc w:val="both"/>
        <w:rPr>
          <w:rFonts w:ascii="Calibri" w:hAnsi="Calibri"/>
          <w:lang w:val="en-GB"/>
        </w:rPr>
      </w:pPr>
      <w:r w:rsidRPr="009A1E3C">
        <w:rPr>
          <w:rFonts w:ascii="Calibri" w:hAnsi="Calibri"/>
          <w:lang w:val="en-GB"/>
        </w:rPr>
        <w:t>The monitoring of the action plan implementation is going to be ensured through a monthly reporting and meetings, based on activity plan to be used as monitoring tool, under the coordination of the Ministry of European Funds, within the thematic working groups organised within the Partnership Agreement Framework.</w:t>
      </w:r>
    </w:p>
    <w:p w:rsidR="009A1E3C" w:rsidRPr="009A1E3C" w:rsidRDefault="009A1E3C" w:rsidP="009A1E3C">
      <w:pPr>
        <w:tabs>
          <w:tab w:val="left" w:pos="2580"/>
        </w:tabs>
        <w:jc w:val="both"/>
        <w:rPr>
          <w:rFonts w:ascii="Calibri" w:hAnsi="Calibri"/>
          <w:lang w:val="en-GB"/>
        </w:rPr>
      </w:pPr>
    </w:p>
    <w:p w:rsidR="009A1E3C" w:rsidRPr="00294C9A" w:rsidRDefault="009A1E3C" w:rsidP="009A1E3C">
      <w:pPr>
        <w:tabs>
          <w:tab w:val="left" w:pos="2580"/>
        </w:tabs>
        <w:jc w:val="both"/>
        <w:rPr>
          <w:rFonts w:ascii="Calibri" w:hAnsi="Calibri"/>
          <w:lang w:val="en-GB"/>
        </w:rPr>
      </w:pPr>
      <w:r w:rsidRPr="009A1E3C">
        <w:rPr>
          <w:rFonts w:ascii="Calibri" w:hAnsi="Calibri"/>
          <w:lang w:val="en-GB"/>
        </w:rPr>
        <w:t>The monitoring will be focused both on timely completion of the activities, and also on the quality of deliverables, for which JASPERS assistance is available to provide support the authorities for the qualitative assessment of the ex</w:t>
      </w:r>
      <w:r w:rsidRPr="00294C9A">
        <w:rPr>
          <w:rFonts w:ascii="Calibri" w:hAnsi="Calibri"/>
          <w:lang w:val="en-GB"/>
        </w:rPr>
        <w:t>-ante conditionality.</w:t>
      </w:r>
    </w:p>
    <w:sectPr w:rsidR="009A1E3C" w:rsidRPr="00294C9A" w:rsidSect="009A1E3C">
      <w:pgSz w:w="12240" w:h="15840" w:code="1"/>
      <w:pgMar w:top="1134" w:right="104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6F8" w:rsidRDefault="00DF56F8">
      <w:r>
        <w:separator/>
      </w:r>
    </w:p>
  </w:endnote>
  <w:endnote w:type="continuationSeparator" w:id="0">
    <w:p w:rsidR="00DF56F8" w:rsidRDefault="00DF5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E3C" w:rsidRDefault="009A1E3C">
    <w:pPr>
      <w:pStyle w:val="Footer"/>
      <w:jc w:val="right"/>
    </w:pPr>
    <w:r>
      <w:fldChar w:fldCharType="begin"/>
    </w:r>
    <w:r>
      <w:instrText xml:space="preserve"> PAGE   \* MERGEFORMAT </w:instrText>
    </w:r>
    <w:r>
      <w:fldChar w:fldCharType="separate"/>
    </w:r>
    <w:r w:rsidR="009936F7">
      <w:rPr>
        <w:noProof/>
      </w:rPr>
      <w:t>1</w:t>
    </w:r>
    <w:r>
      <w:fldChar w:fldCharType="end"/>
    </w:r>
  </w:p>
  <w:p w:rsidR="009A1E3C" w:rsidRDefault="009A1E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6F8" w:rsidRDefault="00DF56F8">
      <w:r>
        <w:separator/>
      </w:r>
    </w:p>
  </w:footnote>
  <w:footnote w:type="continuationSeparator" w:id="0">
    <w:p w:rsidR="00DF56F8" w:rsidRDefault="00DF5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E3C" w:rsidRDefault="009A1E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7F73"/>
    <w:multiLevelType w:val="hybridMultilevel"/>
    <w:tmpl w:val="693CB298"/>
    <w:lvl w:ilvl="0" w:tplc="34109DF4">
      <w:start w:val="2"/>
      <w:numFmt w:val="bullet"/>
      <w:lvlText w:val="-"/>
      <w:lvlJc w:val="left"/>
      <w:pPr>
        <w:ind w:left="1080" w:hanging="360"/>
      </w:pPr>
      <w:rPr>
        <w:rFonts w:ascii="Calibri" w:eastAsia="Times New Roman"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7D2BCF"/>
    <w:multiLevelType w:val="hybridMultilevel"/>
    <w:tmpl w:val="D660B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A006A"/>
    <w:multiLevelType w:val="hybridMultilevel"/>
    <w:tmpl w:val="1A34A3D4"/>
    <w:lvl w:ilvl="0" w:tplc="64466DC4">
      <w:start w:val="1"/>
      <w:numFmt w:val="bullet"/>
      <w:lvlText w:val="•"/>
      <w:lvlJc w:val="left"/>
      <w:pPr>
        <w:tabs>
          <w:tab w:val="num" w:pos="720"/>
        </w:tabs>
        <w:ind w:left="720" w:hanging="360"/>
      </w:pPr>
      <w:rPr>
        <w:rFonts w:ascii="Times New Roman" w:hAnsi="Times New Roman" w:hint="default"/>
      </w:rPr>
    </w:lvl>
    <w:lvl w:ilvl="1" w:tplc="96AA8EF0" w:tentative="1">
      <w:start w:val="1"/>
      <w:numFmt w:val="bullet"/>
      <w:lvlText w:val="•"/>
      <w:lvlJc w:val="left"/>
      <w:pPr>
        <w:tabs>
          <w:tab w:val="num" w:pos="1440"/>
        </w:tabs>
        <w:ind w:left="1440" w:hanging="360"/>
      </w:pPr>
      <w:rPr>
        <w:rFonts w:ascii="Times New Roman" w:hAnsi="Times New Roman" w:hint="default"/>
      </w:rPr>
    </w:lvl>
    <w:lvl w:ilvl="2" w:tplc="166A487A" w:tentative="1">
      <w:start w:val="1"/>
      <w:numFmt w:val="bullet"/>
      <w:lvlText w:val="•"/>
      <w:lvlJc w:val="left"/>
      <w:pPr>
        <w:tabs>
          <w:tab w:val="num" w:pos="2160"/>
        </w:tabs>
        <w:ind w:left="2160" w:hanging="360"/>
      </w:pPr>
      <w:rPr>
        <w:rFonts w:ascii="Times New Roman" w:hAnsi="Times New Roman" w:hint="default"/>
      </w:rPr>
    </w:lvl>
    <w:lvl w:ilvl="3" w:tplc="FEB4E68C" w:tentative="1">
      <w:start w:val="1"/>
      <w:numFmt w:val="bullet"/>
      <w:lvlText w:val="•"/>
      <w:lvlJc w:val="left"/>
      <w:pPr>
        <w:tabs>
          <w:tab w:val="num" w:pos="2880"/>
        </w:tabs>
        <w:ind w:left="2880" w:hanging="360"/>
      </w:pPr>
      <w:rPr>
        <w:rFonts w:ascii="Times New Roman" w:hAnsi="Times New Roman" w:hint="default"/>
      </w:rPr>
    </w:lvl>
    <w:lvl w:ilvl="4" w:tplc="246A7F4C" w:tentative="1">
      <w:start w:val="1"/>
      <w:numFmt w:val="bullet"/>
      <w:lvlText w:val="•"/>
      <w:lvlJc w:val="left"/>
      <w:pPr>
        <w:tabs>
          <w:tab w:val="num" w:pos="3600"/>
        </w:tabs>
        <w:ind w:left="3600" w:hanging="360"/>
      </w:pPr>
      <w:rPr>
        <w:rFonts w:ascii="Times New Roman" w:hAnsi="Times New Roman" w:hint="default"/>
      </w:rPr>
    </w:lvl>
    <w:lvl w:ilvl="5" w:tplc="2E1441EA" w:tentative="1">
      <w:start w:val="1"/>
      <w:numFmt w:val="bullet"/>
      <w:lvlText w:val="•"/>
      <w:lvlJc w:val="left"/>
      <w:pPr>
        <w:tabs>
          <w:tab w:val="num" w:pos="4320"/>
        </w:tabs>
        <w:ind w:left="4320" w:hanging="360"/>
      </w:pPr>
      <w:rPr>
        <w:rFonts w:ascii="Times New Roman" w:hAnsi="Times New Roman" w:hint="default"/>
      </w:rPr>
    </w:lvl>
    <w:lvl w:ilvl="6" w:tplc="00B8D3EC" w:tentative="1">
      <w:start w:val="1"/>
      <w:numFmt w:val="bullet"/>
      <w:lvlText w:val="•"/>
      <w:lvlJc w:val="left"/>
      <w:pPr>
        <w:tabs>
          <w:tab w:val="num" w:pos="5040"/>
        </w:tabs>
        <w:ind w:left="5040" w:hanging="360"/>
      </w:pPr>
      <w:rPr>
        <w:rFonts w:ascii="Times New Roman" w:hAnsi="Times New Roman" w:hint="default"/>
      </w:rPr>
    </w:lvl>
    <w:lvl w:ilvl="7" w:tplc="92C05B22" w:tentative="1">
      <w:start w:val="1"/>
      <w:numFmt w:val="bullet"/>
      <w:lvlText w:val="•"/>
      <w:lvlJc w:val="left"/>
      <w:pPr>
        <w:tabs>
          <w:tab w:val="num" w:pos="5760"/>
        </w:tabs>
        <w:ind w:left="5760" w:hanging="360"/>
      </w:pPr>
      <w:rPr>
        <w:rFonts w:ascii="Times New Roman" w:hAnsi="Times New Roman" w:hint="default"/>
      </w:rPr>
    </w:lvl>
    <w:lvl w:ilvl="8" w:tplc="BD5E2E0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6BE3045"/>
    <w:multiLevelType w:val="hybridMultilevel"/>
    <w:tmpl w:val="29FCF236"/>
    <w:lvl w:ilvl="0" w:tplc="34109DF4">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8DA25DE"/>
    <w:multiLevelType w:val="multilevel"/>
    <w:tmpl w:val="64EC3534"/>
    <w:lvl w:ilvl="0">
      <w:start w:val="1"/>
      <w:numFmt w:val="decimal"/>
      <w:lvlText w:val="%1."/>
      <w:lvlJc w:val="left"/>
      <w:pPr>
        <w:tabs>
          <w:tab w:val="num" w:pos="432"/>
        </w:tabs>
        <w:ind w:left="432" w:hanging="432"/>
      </w:pPr>
      <w:rPr>
        <w:rFonts w:ascii="Times New Roman" w:hAnsi="Times New Roman" w:hint="default"/>
        <w:b/>
        <w:i w:val="0"/>
        <w:color w:val="4F81BD"/>
        <w:sz w:val="28"/>
      </w:rPr>
    </w:lvl>
    <w:lvl w:ilvl="1">
      <w:start w:val="1"/>
      <w:numFmt w:val="decimal"/>
      <w:pStyle w:val="Heading2"/>
      <w:lvlText w:val="%1.%2"/>
      <w:lvlJc w:val="left"/>
      <w:pPr>
        <w:tabs>
          <w:tab w:val="num" w:pos="576"/>
        </w:tabs>
        <w:ind w:left="576" w:hanging="576"/>
      </w:pPr>
      <w:rPr>
        <w:rFonts w:hint="default"/>
        <w:color w:val="4F81BD"/>
      </w:rPr>
    </w:lvl>
    <w:lvl w:ilvl="2">
      <w:start w:val="1"/>
      <w:numFmt w:val="decimal"/>
      <w:pStyle w:val="Heading3"/>
      <w:lvlText w:val="%1.%2.%3"/>
      <w:lvlJc w:val="left"/>
      <w:pPr>
        <w:tabs>
          <w:tab w:val="num" w:pos="720"/>
        </w:tabs>
        <w:ind w:left="720" w:hanging="720"/>
      </w:pPr>
      <w:rPr>
        <w:rFonts w:ascii="Calibri" w:hAnsi="Calibri" w:cs="Calibri" w:hint="default"/>
        <w:i w:val="0"/>
        <w:sz w:val="24"/>
        <w:szCs w:val="24"/>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39B28C6"/>
    <w:multiLevelType w:val="hybridMultilevel"/>
    <w:tmpl w:val="846471F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34403E1E"/>
    <w:multiLevelType w:val="hybridMultilevel"/>
    <w:tmpl w:val="946C9DA4"/>
    <w:lvl w:ilvl="0" w:tplc="34109DF4">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7B21C9"/>
    <w:multiLevelType w:val="hybridMultilevel"/>
    <w:tmpl w:val="EDEAD79C"/>
    <w:lvl w:ilvl="0" w:tplc="34109DF4">
      <w:start w:val="2"/>
      <w:numFmt w:val="bullet"/>
      <w:lvlText w:val="-"/>
      <w:lvlJc w:val="left"/>
      <w:pPr>
        <w:ind w:left="1428" w:hanging="360"/>
      </w:pPr>
      <w:rPr>
        <w:rFonts w:ascii="Calibri" w:eastAsia="Times New Roman" w:hAnsi="Calibri" w:cs="Times New Roman"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8" w15:restartNumberingAfterBreak="0">
    <w:nsid w:val="436C3888"/>
    <w:multiLevelType w:val="hybridMultilevel"/>
    <w:tmpl w:val="B10803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B02A2C"/>
    <w:multiLevelType w:val="hybridMultilevel"/>
    <w:tmpl w:val="0644B752"/>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15:restartNumberingAfterBreak="0">
    <w:nsid w:val="481C2E8F"/>
    <w:multiLevelType w:val="hybridMultilevel"/>
    <w:tmpl w:val="AD54E036"/>
    <w:lvl w:ilvl="0" w:tplc="34109DF4">
      <w:start w:val="2"/>
      <w:numFmt w:val="bullet"/>
      <w:lvlText w:val="-"/>
      <w:lvlJc w:val="left"/>
      <w:pPr>
        <w:ind w:left="1440" w:hanging="360"/>
      </w:pPr>
      <w:rPr>
        <w:rFonts w:ascii="Calibri" w:eastAsia="Times New Roman" w:hAnsi="Calibri"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4DB85864"/>
    <w:multiLevelType w:val="hybridMultilevel"/>
    <w:tmpl w:val="9016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D71CF4"/>
    <w:multiLevelType w:val="hybridMultilevel"/>
    <w:tmpl w:val="D0C25AAA"/>
    <w:lvl w:ilvl="0" w:tplc="A3CA18A4">
      <w:start w:val="1"/>
      <w:numFmt w:val="bullet"/>
      <w:lvlText w:val="•"/>
      <w:lvlJc w:val="left"/>
      <w:pPr>
        <w:tabs>
          <w:tab w:val="num" w:pos="720"/>
        </w:tabs>
        <w:ind w:left="720" w:hanging="360"/>
      </w:pPr>
      <w:rPr>
        <w:rFonts w:ascii="Times New Roman" w:hAnsi="Times New Roman" w:hint="default"/>
      </w:rPr>
    </w:lvl>
    <w:lvl w:ilvl="1" w:tplc="CF905D00" w:tentative="1">
      <w:start w:val="1"/>
      <w:numFmt w:val="bullet"/>
      <w:lvlText w:val="•"/>
      <w:lvlJc w:val="left"/>
      <w:pPr>
        <w:tabs>
          <w:tab w:val="num" w:pos="1440"/>
        </w:tabs>
        <w:ind w:left="1440" w:hanging="360"/>
      </w:pPr>
      <w:rPr>
        <w:rFonts w:ascii="Times New Roman" w:hAnsi="Times New Roman" w:hint="default"/>
      </w:rPr>
    </w:lvl>
    <w:lvl w:ilvl="2" w:tplc="5694BC20" w:tentative="1">
      <w:start w:val="1"/>
      <w:numFmt w:val="bullet"/>
      <w:lvlText w:val="•"/>
      <w:lvlJc w:val="left"/>
      <w:pPr>
        <w:tabs>
          <w:tab w:val="num" w:pos="2160"/>
        </w:tabs>
        <w:ind w:left="2160" w:hanging="360"/>
      </w:pPr>
      <w:rPr>
        <w:rFonts w:ascii="Times New Roman" w:hAnsi="Times New Roman" w:hint="default"/>
      </w:rPr>
    </w:lvl>
    <w:lvl w:ilvl="3" w:tplc="94E22076" w:tentative="1">
      <w:start w:val="1"/>
      <w:numFmt w:val="bullet"/>
      <w:lvlText w:val="•"/>
      <w:lvlJc w:val="left"/>
      <w:pPr>
        <w:tabs>
          <w:tab w:val="num" w:pos="2880"/>
        </w:tabs>
        <w:ind w:left="2880" w:hanging="360"/>
      </w:pPr>
      <w:rPr>
        <w:rFonts w:ascii="Times New Roman" w:hAnsi="Times New Roman" w:hint="default"/>
      </w:rPr>
    </w:lvl>
    <w:lvl w:ilvl="4" w:tplc="97EA7E9E" w:tentative="1">
      <w:start w:val="1"/>
      <w:numFmt w:val="bullet"/>
      <w:lvlText w:val="•"/>
      <w:lvlJc w:val="left"/>
      <w:pPr>
        <w:tabs>
          <w:tab w:val="num" w:pos="3600"/>
        </w:tabs>
        <w:ind w:left="3600" w:hanging="360"/>
      </w:pPr>
      <w:rPr>
        <w:rFonts w:ascii="Times New Roman" w:hAnsi="Times New Roman" w:hint="default"/>
      </w:rPr>
    </w:lvl>
    <w:lvl w:ilvl="5" w:tplc="12768178" w:tentative="1">
      <w:start w:val="1"/>
      <w:numFmt w:val="bullet"/>
      <w:lvlText w:val="•"/>
      <w:lvlJc w:val="left"/>
      <w:pPr>
        <w:tabs>
          <w:tab w:val="num" w:pos="4320"/>
        </w:tabs>
        <w:ind w:left="4320" w:hanging="360"/>
      </w:pPr>
      <w:rPr>
        <w:rFonts w:ascii="Times New Roman" w:hAnsi="Times New Roman" w:hint="default"/>
      </w:rPr>
    </w:lvl>
    <w:lvl w:ilvl="6" w:tplc="3AC62AD6" w:tentative="1">
      <w:start w:val="1"/>
      <w:numFmt w:val="bullet"/>
      <w:lvlText w:val="•"/>
      <w:lvlJc w:val="left"/>
      <w:pPr>
        <w:tabs>
          <w:tab w:val="num" w:pos="5040"/>
        </w:tabs>
        <w:ind w:left="5040" w:hanging="360"/>
      </w:pPr>
      <w:rPr>
        <w:rFonts w:ascii="Times New Roman" w:hAnsi="Times New Roman" w:hint="default"/>
      </w:rPr>
    </w:lvl>
    <w:lvl w:ilvl="7" w:tplc="985EF1DE" w:tentative="1">
      <w:start w:val="1"/>
      <w:numFmt w:val="bullet"/>
      <w:lvlText w:val="•"/>
      <w:lvlJc w:val="left"/>
      <w:pPr>
        <w:tabs>
          <w:tab w:val="num" w:pos="5760"/>
        </w:tabs>
        <w:ind w:left="5760" w:hanging="360"/>
      </w:pPr>
      <w:rPr>
        <w:rFonts w:ascii="Times New Roman" w:hAnsi="Times New Roman" w:hint="default"/>
      </w:rPr>
    </w:lvl>
    <w:lvl w:ilvl="8" w:tplc="5FB647A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2953C9E"/>
    <w:multiLevelType w:val="hybridMultilevel"/>
    <w:tmpl w:val="98881806"/>
    <w:lvl w:ilvl="0" w:tplc="030AE94E">
      <w:start w:val="1"/>
      <w:numFmt w:val="bullet"/>
      <w:lvlText w:val="•"/>
      <w:lvlJc w:val="left"/>
      <w:pPr>
        <w:tabs>
          <w:tab w:val="num" w:pos="720"/>
        </w:tabs>
        <w:ind w:left="720" w:hanging="360"/>
      </w:pPr>
      <w:rPr>
        <w:rFonts w:ascii="Times New Roman" w:hAnsi="Times New Roman" w:hint="default"/>
      </w:rPr>
    </w:lvl>
    <w:lvl w:ilvl="1" w:tplc="D92861D2" w:tentative="1">
      <w:start w:val="1"/>
      <w:numFmt w:val="bullet"/>
      <w:lvlText w:val="•"/>
      <w:lvlJc w:val="left"/>
      <w:pPr>
        <w:tabs>
          <w:tab w:val="num" w:pos="1440"/>
        </w:tabs>
        <w:ind w:left="1440" w:hanging="360"/>
      </w:pPr>
      <w:rPr>
        <w:rFonts w:ascii="Times New Roman" w:hAnsi="Times New Roman" w:hint="default"/>
      </w:rPr>
    </w:lvl>
    <w:lvl w:ilvl="2" w:tplc="52C6F8EC" w:tentative="1">
      <w:start w:val="1"/>
      <w:numFmt w:val="bullet"/>
      <w:lvlText w:val="•"/>
      <w:lvlJc w:val="left"/>
      <w:pPr>
        <w:tabs>
          <w:tab w:val="num" w:pos="2160"/>
        </w:tabs>
        <w:ind w:left="2160" w:hanging="360"/>
      </w:pPr>
      <w:rPr>
        <w:rFonts w:ascii="Times New Roman" w:hAnsi="Times New Roman" w:hint="default"/>
      </w:rPr>
    </w:lvl>
    <w:lvl w:ilvl="3" w:tplc="FB64D0D6" w:tentative="1">
      <w:start w:val="1"/>
      <w:numFmt w:val="bullet"/>
      <w:lvlText w:val="•"/>
      <w:lvlJc w:val="left"/>
      <w:pPr>
        <w:tabs>
          <w:tab w:val="num" w:pos="2880"/>
        </w:tabs>
        <w:ind w:left="2880" w:hanging="360"/>
      </w:pPr>
      <w:rPr>
        <w:rFonts w:ascii="Times New Roman" w:hAnsi="Times New Roman" w:hint="default"/>
      </w:rPr>
    </w:lvl>
    <w:lvl w:ilvl="4" w:tplc="3B50FCDC" w:tentative="1">
      <w:start w:val="1"/>
      <w:numFmt w:val="bullet"/>
      <w:lvlText w:val="•"/>
      <w:lvlJc w:val="left"/>
      <w:pPr>
        <w:tabs>
          <w:tab w:val="num" w:pos="3600"/>
        </w:tabs>
        <w:ind w:left="3600" w:hanging="360"/>
      </w:pPr>
      <w:rPr>
        <w:rFonts w:ascii="Times New Roman" w:hAnsi="Times New Roman" w:hint="default"/>
      </w:rPr>
    </w:lvl>
    <w:lvl w:ilvl="5" w:tplc="161A2036" w:tentative="1">
      <w:start w:val="1"/>
      <w:numFmt w:val="bullet"/>
      <w:lvlText w:val="•"/>
      <w:lvlJc w:val="left"/>
      <w:pPr>
        <w:tabs>
          <w:tab w:val="num" w:pos="4320"/>
        </w:tabs>
        <w:ind w:left="4320" w:hanging="360"/>
      </w:pPr>
      <w:rPr>
        <w:rFonts w:ascii="Times New Roman" w:hAnsi="Times New Roman" w:hint="default"/>
      </w:rPr>
    </w:lvl>
    <w:lvl w:ilvl="6" w:tplc="1E3C400E" w:tentative="1">
      <w:start w:val="1"/>
      <w:numFmt w:val="bullet"/>
      <w:lvlText w:val="•"/>
      <w:lvlJc w:val="left"/>
      <w:pPr>
        <w:tabs>
          <w:tab w:val="num" w:pos="5040"/>
        </w:tabs>
        <w:ind w:left="5040" w:hanging="360"/>
      </w:pPr>
      <w:rPr>
        <w:rFonts w:ascii="Times New Roman" w:hAnsi="Times New Roman" w:hint="default"/>
      </w:rPr>
    </w:lvl>
    <w:lvl w:ilvl="7" w:tplc="EB20E98A" w:tentative="1">
      <w:start w:val="1"/>
      <w:numFmt w:val="bullet"/>
      <w:lvlText w:val="•"/>
      <w:lvlJc w:val="left"/>
      <w:pPr>
        <w:tabs>
          <w:tab w:val="num" w:pos="5760"/>
        </w:tabs>
        <w:ind w:left="5760" w:hanging="360"/>
      </w:pPr>
      <w:rPr>
        <w:rFonts w:ascii="Times New Roman" w:hAnsi="Times New Roman" w:hint="default"/>
      </w:rPr>
    </w:lvl>
    <w:lvl w:ilvl="8" w:tplc="079A195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7B566F9"/>
    <w:multiLevelType w:val="hybridMultilevel"/>
    <w:tmpl w:val="8C02D39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6F531864"/>
    <w:multiLevelType w:val="hybridMultilevel"/>
    <w:tmpl w:val="B276018E"/>
    <w:lvl w:ilvl="0" w:tplc="0809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71077B7B"/>
    <w:multiLevelType w:val="hybridMultilevel"/>
    <w:tmpl w:val="CF2C556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713722A3"/>
    <w:multiLevelType w:val="hybridMultilevel"/>
    <w:tmpl w:val="E36E7D80"/>
    <w:lvl w:ilvl="0" w:tplc="5BE4AAEA">
      <w:numFmt w:val="bullet"/>
      <w:lvlText w:val="-"/>
      <w:lvlJc w:val="left"/>
      <w:pPr>
        <w:ind w:left="677" w:hanging="360"/>
      </w:pPr>
      <w:rPr>
        <w:rFonts w:ascii="Calibri" w:eastAsia="Calibri" w:hAnsi="Calibri" w:cs="Times New Roman" w:hint="default"/>
      </w:rPr>
    </w:lvl>
    <w:lvl w:ilvl="1" w:tplc="04180003">
      <w:start w:val="1"/>
      <w:numFmt w:val="bullet"/>
      <w:lvlText w:val="o"/>
      <w:lvlJc w:val="left"/>
      <w:pPr>
        <w:ind w:left="1397" w:hanging="360"/>
      </w:pPr>
      <w:rPr>
        <w:rFonts w:ascii="Courier New" w:hAnsi="Courier New" w:cs="Courier New" w:hint="default"/>
      </w:rPr>
    </w:lvl>
    <w:lvl w:ilvl="2" w:tplc="04180005" w:tentative="1">
      <w:start w:val="1"/>
      <w:numFmt w:val="bullet"/>
      <w:lvlText w:val=""/>
      <w:lvlJc w:val="left"/>
      <w:pPr>
        <w:ind w:left="2117" w:hanging="360"/>
      </w:pPr>
      <w:rPr>
        <w:rFonts w:ascii="Wingdings" w:hAnsi="Wingdings" w:hint="default"/>
      </w:rPr>
    </w:lvl>
    <w:lvl w:ilvl="3" w:tplc="04180001" w:tentative="1">
      <w:start w:val="1"/>
      <w:numFmt w:val="bullet"/>
      <w:lvlText w:val=""/>
      <w:lvlJc w:val="left"/>
      <w:pPr>
        <w:ind w:left="2837" w:hanging="360"/>
      </w:pPr>
      <w:rPr>
        <w:rFonts w:ascii="Symbol" w:hAnsi="Symbol" w:hint="default"/>
      </w:rPr>
    </w:lvl>
    <w:lvl w:ilvl="4" w:tplc="04180003" w:tentative="1">
      <w:start w:val="1"/>
      <w:numFmt w:val="bullet"/>
      <w:lvlText w:val="o"/>
      <w:lvlJc w:val="left"/>
      <w:pPr>
        <w:ind w:left="3557" w:hanging="360"/>
      </w:pPr>
      <w:rPr>
        <w:rFonts w:ascii="Courier New" w:hAnsi="Courier New" w:cs="Courier New" w:hint="default"/>
      </w:rPr>
    </w:lvl>
    <w:lvl w:ilvl="5" w:tplc="04180005" w:tentative="1">
      <w:start w:val="1"/>
      <w:numFmt w:val="bullet"/>
      <w:lvlText w:val=""/>
      <w:lvlJc w:val="left"/>
      <w:pPr>
        <w:ind w:left="4277" w:hanging="360"/>
      </w:pPr>
      <w:rPr>
        <w:rFonts w:ascii="Wingdings" w:hAnsi="Wingdings" w:hint="default"/>
      </w:rPr>
    </w:lvl>
    <w:lvl w:ilvl="6" w:tplc="04180001" w:tentative="1">
      <w:start w:val="1"/>
      <w:numFmt w:val="bullet"/>
      <w:lvlText w:val=""/>
      <w:lvlJc w:val="left"/>
      <w:pPr>
        <w:ind w:left="4997" w:hanging="360"/>
      </w:pPr>
      <w:rPr>
        <w:rFonts w:ascii="Symbol" w:hAnsi="Symbol" w:hint="default"/>
      </w:rPr>
    </w:lvl>
    <w:lvl w:ilvl="7" w:tplc="04180003" w:tentative="1">
      <w:start w:val="1"/>
      <w:numFmt w:val="bullet"/>
      <w:lvlText w:val="o"/>
      <w:lvlJc w:val="left"/>
      <w:pPr>
        <w:ind w:left="5717" w:hanging="360"/>
      </w:pPr>
      <w:rPr>
        <w:rFonts w:ascii="Courier New" w:hAnsi="Courier New" w:cs="Courier New" w:hint="default"/>
      </w:rPr>
    </w:lvl>
    <w:lvl w:ilvl="8" w:tplc="04180005" w:tentative="1">
      <w:start w:val="1"/>
      <w:numFmt w:val="bullet"/>
      <w:lvlText w:val=""/>
      <w:lvlJc w:val="left"/>
      <w:pPr>
        <w:ind w:left="6437" w:hanging="360"/>
      </w:pPr>
      <w:rPr>
        <w:rFonts w:ascii="Wingdings" w:hAnsi="Wingdings" w:hint="default"/>
      </w:rPr>
    </w:lvl>
  </w:abstractNum>
  <w:abstractNum w:abstractNumId="18" w15:restartNumberingAfterBreak="0">
    <w:nsid w:val="74D13587"/>
    <w:multiLevelType w:val="hybridMultilevel"/>
    <w:tmpl w:val="A59A9DC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CB45B25"/>
    <w:multiLevelType w:val="hybridMultilevel"/>
    <w:tmpl w:val="1ABAC8CC"/>
    <w:lvl w:ilvl="0" w:tplc="34109DF4">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4"/>
  </w:num>
  <w:num w:numId="4">
    <w:abstractNumId w:val="11"/>
  </w:num>
  <w:num w:numId="5">
    <w:abstractNumId w:val="1"/>
  </w:num>
  <w:num w:numId="6">
    <w:abstractNumId w:val="12"/>
  </w:num>
  <w:num w:numId="7">
    <w:abstractNumId w:val="2"/>
  </w:num>
  <w:num w:numId="8">
    <w:abstractNumId w:val="13"/>
  </w:num>
  <w:num w:numId="9">
    <w:abstractNumId w:val="18"/>
  </w:num>
  <w:num w:numId="10">
    <w:abstractNumId w:val="19"/>
  </w:num>
  <w:num w:numId="11">
    <w:abstractNumId w:val="0"/>
  </w:num>
  <w:num w:numId="12">
    <w:abstractNumId w:val="10"/>
  </w:num>
  <w:num w:numId="13">
    <w:abstractNumId w:val="4"/>
  </w:num>
  <w:num w:numId="14">
    <w:abstractNumId w:val="9"/>
  </w:num>
  <w:num w:numId="15">
    <w:abstractNumId w:val="7"/>
  </w:num>
  <w:num w:numId="16">
    <w:abstractNumId w:val="3"/>
  </w:num>
  <w:num w:numId="17">
    <w:abstractNumId w:val="6"/>
  </w:num>
  <w:num w:numId="18">
    <w:abstractNumId w:val="17"/>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doNotUseMarginsForDrawingGridOrigin/>
  <w:drawingGridHorizontalOrigin w:val="1440"/>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097"/>
    <w:rsid w:val="00001884"/>
    <w:rsid w:val="00002D1C"/>
    <w:rsid w:val="00003BE7"/>
    <w:rsid w:val="00004F62"/>
    <w:rsid w:val="00013775"/>
    <w:rsid w:val="00014120"/>
    <w:rsid w:val="00014E74"/>
    <w:rsid w:val="000174A5"/>
    <w:rsid w:val="00021316"/>
    <w:rsid w:val="00030CF9"/>
    <w:rsid w:val="00031BF2"/>
    <w:rsid w:val="000334CB"/>
    <w:rsid w:val="000336C1"/>
    <w:rsid w:val="00035A2D"/>
    <w:rsid w:val="0003650D"/>
    <w:rsid w:val="00040860"/>
    <w:rsid w:val="00042576"/>
    <w:rsid w:val="000425F9"/>
    <w:rsid w:val="00043A29"/>
    <w:rsid w:val="00045A34"/>
    <w:rsid w:val="000516F8"/>
    <w:rsid w:val="00055FE2"/>
    <w:rsid w:val="0005692B"/>
    <w:rsid w:val="000601BA"/>
    <w:rsid w:val="00061866"/>
    <w:rsid w:val="00064AC0"/>
    <w:rsid w:val="000653DF"/>
    <w:rsid w:val="00067026"/>
    <w:rsid w:val="00067CA5"/>
    <w:rsid w:val="00070D60"/>
    <w:rsid w:val="00071098"/>
    <w:rsid w:val="000715C8"/>
    <w:rsid w:val="00071B80"/>
    <w:rsid w:val="00074E86"/>
    <w:rsid w:val="000807E7"/>
    <w:rsid w:val="00081C84"/>
    <w:rsid w:val="00091AE6"/>
    <w:rsid w:val="00093A90"/>
    <w:rsid w:val="000A1152"/>
    <w:rsid w:val="000A31AB"/>
    <w:rsid w:val="000A3FC9"/>
    <w:rsid w:val="000A5B0B"/>
    <w:rsid w:val="000B3D34"/>
    <w:rsid w:val="000B5D97"/>
    <w:rsid w:val="000B6ECC"/>
    <w:rsid w:val="000B757E"/>
    <w:rsid w:val="000C0495"/>
    <w:rsid w:val="000C74FB"/>
    <w:rsid w:val="000D0C9D"/>
    <w:rsid w:val="000D199C"/>
    <w:rsid w:val="000D25F9"/>
    <w:rsid w:val="000D4836"/>
    <w:rsid w:val="000E45D5"/>
    <w:rsid w:val="000E7D09"/>
    <w:rsid w:val="000F023C"/>
    <w:rsid w:val="000F0E65"/>
    <w:rsid w:val="000F3C76"/>
    <w:rsid w:val="000F7232"/>
    <w:rsid w:val="00100E8B"/>
    <w:rsid w:val="00107D13"/>
    <w:rsid w:val="00110063"/>
    <w:rsid w:val="00115206"/>
    <w:rsid w:val="00116B52"/>
    <w:rsid w:val="00124FE1"/>
    <w:rsid w:val="00126D30"/>
    <w:rsid w:val="00134DF9"/>
    <w:rsid w:val="0013766B"/>
    <w:rsid w:val="001421D6"/>
    <w:rsid w:val="00145B9F"/>
    <w:rsid w:val="00147F36"/>
    <w:rsid w:val="00147F76"/>
    <w:rsid w:val="00150B89"/>
    <w:rsid w:val="00156F90"/>
    <w:rsid w:val="0015708E"/>
    <w:rsid w:val="00161149"/>
    <w:rsid w:val="00166654"/>
    <w:rsid w:val="00167B18"/>
    <w:rsid w:val="001724FA"/>
    <w:rsid w:val="001747EF"/>
    <w:rsid w:val="001749F7"/>
    <w:rsid w:val="00180415"/>
    <w:rsid w:val="0018070D"/>
    <w:rsid w:val="001812B1"/>
    <w:rsid w:val="00185BD1"/>
    <w:rsid w:val="001949CB"/>
    <w:rsid w:val="00195CA9"/>
    <w:rsid w:val="001A1441"/>
    <w:rsid w:val="001A7C41"/>
    <w:rsid w:val="001B01B4"/>
    <w:rsid w:val="001B1E31"/>
    <w:rsid w:val="001B5B96"/>
    <w:rsid w:val="001B5F42"/>
    <w:rsid w:val="001B62CE"/>
    <w:rsid w:val="001C039B"/>
    <w:rsid w:val="001C3098"/>
    <w:rsid w:val="001C31D7"/>
    <w:rsid w:val="001C55DF"/>
    <w:rsid w:val="001C7361"/>
    <w:rsid w:val="001E02FC"/>
    <w:rsid w:val="001E15A6"/>
    <w:rsid w:val="001E2D0A"/>
    <w:rsid w:val="001E3DD8"/>
    <w:rsid w:val="001F7F42"/>
    <w:rsid w:val="00206977"/>
    <w:rsid w:val="00212F9D"/>
    <w:rsid w:val="00230D79"/>
    <w:rsid w:val="00241020"/>
    <w:rsid w:val="00242DD1"/>
    <w:rsid w:val="002442CC"/>
    <w:rsid w:val="0024654D"/>
    <w:rsid w:val="00247014"/>
    <w:rsid w:val="00251088"/>
    <w:rsid w:val="00253CD6"/>
    <w:rsid w:val="002563AB"/>
    <w:rsid w:val="00261868"/>
    <w:rsid w:val="00261D53"/>
    <w:rsid w:val="00261DAC"/>
    <w:rsid w:val="00263C24"/>
    <w:rsid w:val="00265F39"/>
    <w:rsid w:val="00272603"/>
    <w:rsid w:val="00272B15"/>
    <w:rsid w:val="00280D5B"/>
    <w:rsid w:val="00282080"/>
    <w:rsid w:val="00285265"/>
    <w:rsid w:val="002855DD"/>
    <w:rsid w:val="00286B16"/>
    <w:rsid w:val="002875F6"/>
    <w:rsid w:val="00290707"/>
    <w:rsid w:val="00292CEF"/>
    <w:rsid w:val="00293A8B"/>
    <w:rsid w:val="00293AC1"/>
    <w:rsid w:val="00293E66"/>
    <w:rsid w:val="002944E5"/>
    <w:rsid w:val="00294B09"/>
    <w:rsid w:val="00294C9A"/>
    <w:rsid w:val="00295BA9"/>
    <w:rsid w:val="002A18E0"/>
    <w:rsid w:val="002A254E"/>
    <w:rsid w:val="002A7EF4"/>
    <w:rsid w:val="002B0126"/>
    <w:rsid w:val="002B177D"/>
    <w:rsid w:val="002B1AF9"/>
    <w:rsid w:val="002B4239"/>
    <w:rsid w:val="002B4D29"/>
    <w:rsid w:val="002B7341"/>
    <w:rsid w:val="002B7B8C"/>
    <w:rsid w:val="002C2714"/>
    <w:rsid w:val="002C42E6"/>
    <w:rsid w:val="002C6DE9"/>
    <w:rsid w:val="002C73C0"/>
    <w:rsid w:val="002D0722"/>
    <w:rsid w:val="002D4601"/>
    <w:rsid w:val="002E1672"/>
    <w:rsid w:val="002E28B8"/>
    <w:rsid w:val="002E36E6"/>
    <w:rsid w:val="002E5FF1"/>
    <w:rsid w:val="002E6193"/>
    <w:rsid w:val="002E6902"/>
    <w:rsid w:val="002F05F3"/>
    <w:rsid w:val="002F063E"/>
    <w:rsid w:val="00301296"/>
    <w:rsid w:val="0030254C"/>
    <w:rsid w:val="0030289F"/>
    <w:rsid w:val="003046FF"/>
    <w:rsid w:val="00304A42"/>
    <w:rsid w:val="0030789F"/>
    <w:rsid w:val="00310C43"/>
    <w:rsid w:val="00315AF6"/>
    <w:rsid w:val="00315B5E"/>
    <w:rsid w:val="00321BCF"/>
    <w:rsid w:val="00324EFF"/>
    <w:rsid w:val="00324F7B"/>
    <w:rsid w:val="00336018"/>
    <w:rsid w:val="00336CDC"/>
    <w:rsid w:val="00340120"/>
    <w:rsid w:val="00340273"/>
    <w:rsid w:val="00341437"/>
    <w:rsid w:val="003418B8"/>
    <w:rsid w:val="00344E3A"/>
    <w:rsid w:val="00351EBD"/>
    <w:rsid w:val="00351F92"/>
    <w:rsid w:val="00352C5B"/>
    <w:rsid w:val="00362E7E"/>
    <w:rsid w:val="00363F34"/>
    <w:rsid w:val="00365470"/>
    <w:rsid w:val="00366065"/>
    <w:rsid w:val="003675EC"/>
    <w:rsid w:val="00370840"/>
    <w:rsid w:val="00380984"/>
    <w:rsid w:val="003820A8"/>
    <w:rsid w:val="00385F4D"/>
    <w:rsid w:val="00386150"/>
    <w:rsid w:val="00386355"/>
    <w:rsid w:val="00391A2B"/>
    <w:rsid w:val="00395989"/>
    <w:rsid w:val="003A2A19"/>
    <w:rsid w:val="003A2A5F"/>
    <w:rsid w:val="003A360F"/>
    <w:rsid w:val="003A5797"/>
    <w:rsid w:val="003A60FE"/>
    <w:rsid w:val="003A692D"/>
    <w:rsid w:val="003B0C4E"/>
    <w:rsid w:val="003B2D08"/>
    <w:rsid w:val="003B7D0A"/>
    <w:rsid w:val="003C071D"/>
    <w:rsid w:val="003C2BA4"/>
    <w:rsid w:val="003C6F80"/>
    <w:rsid w:val="003C709B"/>
    <w:rsid w:val="003D0B68"/>
    <w:rsid w:val="003D0D70"/>
    <w:rsid w:val="003E275D"/>
    <w:rsid w:val="003E592B"/>
    <w:rsid w:val="003E5BA0"/>
    <w:rsid w:val="003F1E92"/>
    <w:rsid w:val="003F2A22"/>
    <w:rsid w:val="003F3023"/>
    <w:rsid w:val="003F5172"/>
    <w:rsid w:val="00402A45"/>
    <w:rsid w:val="00403267"/>
    <w:rsid w:val="00406C5F"/>
    <w:rsid w:val="00407996"/>
    <w:rsid w:val="00407FFA"/>
    <w:rsid w:val="0041178B"/>
    <w:rsid w:val="00411A00"/>
    <w:rsid w:val="004127C4"/>
    <w:rsid w:val="00412E8A"/>
    <w:rsid w:val="00414728"/>
    <w:rsid w:val="00420418"/>
    <w:rsid w:val="004221EB"/>
    <w:rsid w:val="00423416"/>
    <w:rsid w:val="004245E6"/>
    <w:rsid w:val="00430096"/>
    <w:rsid w:val="00430B33"/>
    <w:rsid w:val="00432B9B"/>
    <w:rsid w:val="0043445E"/>
    <w:rsid w:val="0043635B"/>
    <w:rsid w:val="004365D9"/>
    <w:rsid w:val="00436EEA"/>
    <w:rsid w:val="00437855"/>
    <w:rsid w:val="00440FC7"/>
    <w:rsid w:val="00441F6A"/>
    <w:rsid w:val="0044339F"/>
    <w:rsid w:val="00444F9A"/>
    <w:rsid w:val="00446008"/>
    <w:rsid w:val="004464A1"/>
    <w:rsid w:val="0044768E"/>
    <w:rsid w:val="0045010A"/>
    <w:rsid w:val="00451BED"/>
    <w:rsid w:val="00454B93"/>
    <w:rsid w:val="004551D3"/>
    <w:rsid w:val="004564EC"/>
    <w:rsid w:val="00457A24"/>
    <w:rsid w:val="00462188"/>
    <w:rsid w:val="00464319"/>
    <w:rsid w:val="00464A3E"/>
    <w:rsid w:val="00470341"/>
    <w:rsid w:val="004755CC"/>
    <w:rsid w:val="0048162B"/>
    <w:rsid w:val="004829A5"/>
    <w:rsid w:val="00483784"/>
    <w:rsid w:val="004A0D1B"/>
    <w:rsid w:val="004A2725"/>
    <w:rsid w:val="004A3F93"/>
    <w:rsid w:val="004A5642"/>
    <w:rsid w:val="004B5BA4"/>
    <w:rsid w:val="004B76FC"/>
    <w:rsid w:val="004C19F0"/>
    <w:rsid w:val="004D135D"/>
    <w:rsid w:val="004D362B"/>
    <w:rsid w:val="004D3E2F"/>
    <w:rsid w:val="004D54F2"/>
    <w:rsid w:val="004D72E1"/>
    <w:rsid w:val="004E2C44"/>
    <w:rsid w:val="004E4E28"/>
    <w:rsid w:val="004F110F"/>
    <w:rsid w:val="004F1809"/>
    <w:rsid w:val="004F3725"/>
    <w:rsid w:val="004F522E"/>
    <w:rsid w:val="00500BDC"/>
    <w:rsid w:val="00505A2B"/>
    <w:rsid w:val="00505BA6"/>
    <w:rsid w:val="00510027"/>
    <w:rsid w:val="005103B0"/>
    <w:rsid w:val="00510BFF"/>
    <w:rsid w:val="00510D5E"/>
    <w:rsid w:val="005134ED"/>
    <w:rsid w:val="00515C7F"/>
    <w:rsid w:val="00515C9E"/>
    <w:rsid w:val="00517B37"/>
    <w:rsid w:val="00520FB9"/>
    <w:rsid w:val="00526E47"/>
    <w:rsid w:val="00531ACE"/>
    <w:rsid w:val="005347C8"/>
    <w:rsid w:val="00536EC8"/>
    <w:rsid w:val="00537009"/>
    <w:rsid w:val="00537473"/>
    <w:rsid w:val="00545AF0"/>
    <w:rsid w:val="005502EF"/>
    <w:rsid w:val="00550938"/>
    <w:rsid w:val="00550FB7"/>
    <w:rsid w:val="005516B3"/>
    <w:rsid w:val="00552C7D"/>
    <w:rsid w:val="005544B2"/>
    <w:rsid w:val="00565DF9"/>
    <w:rsid w:val="005678C8"/>
    <w:rsid w:val="00571864"/>
    <w:rsid w:val="00573642"/>
    <w:rsid w:val="00577BD0"/>
    <w:rsid w:val="0058243E"/>
    <w:rsid w:val="00583E23"/>
    <w:rsid w:val="00583F4A"/>
    <w:rsid w:val="005854BF"/>
    <w:rsid w:val="00591706"/>
    <w:rsid w:val="005977E3"/>
    <w:rsid w:val="005A0BD8"/>
    <w:rsid w:val="005A54E9"/>
    <w:rsid w:val="005B6C34"/>
    <w:rsid w:val="005C7B60"/>
    <w:rsid w:val="005E0B22"/>
    <w:rsid w:val="005E7926"/>
    <w:rsid w:val="005F0049"/>
    <w:rsid w:val="005F206F"/>
    <w:rsid w:val="005F262F"/>
    <w:rsid w:val="005F2BB0"/>
    <w:rsid w:val="005F3E9B"/>
    <w:rsid w:val="005F4784"/>
    <w:rsid w:val="005F64CC"/>
    <w:rsid w:val="005F6F95"/>
    <w:rsid w:val="00600B6E"/>
    <w:rsid w:val="00600BEA"/>
    <w:rsid w:val="00602715"/>
    <w:rsid w:val="00604B23"/>
    <w:rsid w:val="006065F7"/>
    <w:rsid w:val="00611EDC"/>
    <w:rsid w:val="00614D7B"/>
    <w:rsid w:val="00615EF9"/>
    <w:rsid w:val="0061661F"/>
    <w:rsid w:val="00616710"/>
    <w:rsid w:val="0062076B"/>
    <w:rsid w:val="0063663F"/>
    <w:rsid w:val="00636712"/>
    <w:rsid w:val="00636DE3"/>
    <w:rsid w:val="00637F0D"/>
    <w:rsid w:val="0064501F"/>
    <w:rsid w:val="00650752"/>
    <w:rsid w:val="006521BC"/>
    <w:rsid w:val="0066004E"/>
    <w:rsid w:val="00661898"/>
    <w:rsid w:val="00662817"/>
    <w:rsid w:val="00662CCC"/>
    <w:rsid w:val="00673040"/>
    <w:rsid w:val="00675B0D"/>
    <w:rsid w:val="00676384"/>
    <w:rsid w:val="00681598"/>
    <w:rsid w:val="006820EB"/>
    <w:rsid w:val="006840DB"/>
    <w:rsid w:val="00684DAC"/>
    <w:rsid w:val="0068576F"/>
    <w:rsid w:val="00685820"/>
    <w:rsid w:val="006863EE"/>
    <w:rsid w:val="00690E5A"/>
    <w:rsid w:val="00692EDA"/>
    <w:rsid w:val="006946C6"/>
    <w:rsid w:val="0069473E"/>
    <w:rsid w:val="006A063E"/>
    <w:rsid w:val="006A1C2A"/>
    <w:rsid w:val="006A2F38"/>
    <w:rsid w:val="006A5E05"/>
    <w:rsid w:val="006B0FA1"/>
    <w:rsid w:val="006B218A"/>
    <w:rsid w:val="006B2D63"/>
    <w:rsid w:val="006B2DCE"/>
    <w:rsid w:val="006B5811"/>
    <w:rsid w:val="006B6FDE"/>
    <w:rsid w:val="006C2449"/>
    <w:rsid w:val="006C489B"/>
    <w:rsid w:val="006C77C4"/>
    <w:rsid w:val="006C7A1C"/>
    <w:rsid w:val="006C7AE7"/>
    <w:rsid w:val="006D114E"/>
    <w:rsid w:val="006D4111"/>
    <w:rsid w:val="006E150F"/>
    <w:rsid w:val="006E1B33"/>
    <w:rsid w:val="006E2DC9"/>
    <w:rsid w:val="006E3F07"/>
    <w:rsid w:val="006E4961"/>
    <w:rsid w:val="006F45DE"/>
    <w:rsid w:val="006F6FFC"/>
    <w:rsid w:val="00701A80"/>
    <w:rsid w:val="00705DD8"/>
    <w:rsid w:val="00712CD8"/>
    <w:rsid w:val="00717570"/>
    <w:rsid w:val="00722877"/>
    <w:rsid w:val="00722E08"/>
    <w:rsid w:val="00722FEA"/>
    <w:rsid w:val="0073089C"/>
    <w:rsid w:val="00742201"/>
    <w:rsid w:val="007447AD"/>
    <w:rsid w:val="00745236"/>
    <w:rsid w:val="007462B4"/>
    <w:rsid w:val="007471CB"/>
    <w:rsid w:val="00752CE8"/>
    <w:rsid w:val="007603DA"/>
    <w:rsid w:val="00760F9C"/>
    <w:rsid w:val="00765616"/>
    <w:rsid w:val="0076566E"/>
    <w:rsid w:val="00766787"/>
    <w:rsid w:val="0077523F"/>
    <w:rsid w:val="007764A8"/>
    <w:rsid w:val="00777777"/>
    <w:rsid w:val="00787841"/>
    <w:rsid w:val="00795C5B"/>
    <w:rsid w:val="00795CA7"/>
    <w:rsid w:val="00797194"/>
    <w:rsid w:val="00797AFB"/>
    <w:rsid w:val="007A0285"/>
    <w:rsid w:val="007A0B8C"/>
    <w:rsid w:val="007A0BC1"/>
    <w:rsid w:val="007A308C"/>
    <w:rsid w:val="007A6FFF"/>
    <w:rsid w:val="007B53FA"/>
    <w:rsid w:val="007C168A"/>
    <w:rsid w:val="007D0FEB"/>
    <w:rsid w:val="007D7C52"/>
    <w:rsid w:val="007E46E0"/>
    <w:rsid w:val="007E716F"/>
    <w:rsid w:val="007E7649"/>
    <w:rsid w:val="007F2BA6"/>
    <w:rsid w:val="007F51B0"/>
    <w:rsid w:val="007F5539"/>
    <w:rsid w:val="007F6AE3"/>
    <w:rsid w:val="007F752A"/>
    <w:rsid w:val="0080470F"/>
    <w:rsid w:val="0080498E"/>
    <w:rsid w:val="0080761B"/>
    <w:rsid w:val="00807907"/>
    <w:rsid w:val="0081277F"/>
    <w:rsid w:val="0081497D"/>
    <w:rsid w:val="0081649B"/>
    <w:rsid w:val="00820610"/>
    <w:rsid w:val="008212B5"/>
    <w:rsid w:val="00823626"/>
    <w:rsid w:val="00827895"/>
    <w:rsid w:val="00831A69"/>
    <w:rsid w:val="00832D23"/>
    <w:rsid w:val="00833D93"/>
    <w:rsid w:val="00834363"/>
    <w:rsid w:val="00835349"/>
    <w:rsid w:val="00836A93"/>
    <w:rsid w:val="00836CD2"/>
    <w:rsid w:val="0083793F"/>
    <w:rsid w:val="008414B0"/>
    <w:rsid w:val="00841B18"/>
    <w:rsid w:val="00842507"/>
    <w:rsid w:val="0084254F"/>
    <w:rsid w:val="008428EE"/>
    <w:rsid w:val="00843380"/>
    <w:rsid w:val="00844088"/>
    <w:rsid w:val="00847DA2"/>
    <w:rsid w:val="0085059A"/>
    <w:rsid w:val="00851FA0"/>
    <w:rsid w:val="00867253"/>
    <w:rsid w:val="008717EF"/>
    <w:rsid w:val="00871C9F"/>
    <w:rsid w:val="00871FA2"/>
    <w:rsid w:val="0087368F"/>
    <w:rsid w:val="008772FA"/>
    <w:rsid w:val="00882383"/>
    <w:rsid w:val="00887153"/>
    <w:rsid w:val="00890153"/>
    <w:rsid w:val="00891A0F"/>
    <w:rsid w:val="0089608E"/>
    <w:rsid w:val="008A023E"/>
    <w:rsid w:val="008A0A66"/>
    <w:rsid w:val="008A71BB"/>
    <w:rsid w:val="008B00BF"/>
    <w:rsid w:val="008B6B46"/>
    <w:rsid w:val="008C101B"/>
    <w:rsid w:val="008D25F5"/>
    <w:rsid w:val="008D3B11"/>
    <w:rsid w:val="008E09FD"/>
    <w:rsid w:val="008E5DE2"/>
    <w:rsid w:val="008E6A0A"/>
    <w:rsid w:val="008E6E72"/>
    <w:rsid w:val="008E7396"/>
    <w:rsid w:val="008F0413"/>
    <w:rsid w:val="008F2FC4"/>
    <w:rsid w:val="008F4833"/>
    <w:rsid w:val="008F6282"/>
    <w:rsid w:val="009026A7"/>
    <w:rsid w:val="009029A0"/>
    <w:rsid w:val="00904C43"/>
    <w:rsid w:val="00906882"/>
    <w:rsid w:val="00907465"/>
    <w:rsid w:val="00911749"/>
    <w:rsid w:val="0091244A"/>
    <w:rsid w:val="00912E0E"/>
    <w:rsid w:val="009223DA"/>
    <w:rsid w:val="00925281"/>
    <w:rsid w:val="009274C9"/>
    <w:rsid w:val="009306CD"/>
    <w:rsid w:val="00932B6D"/>
    <w:rsid w:val="00936274"/>
    <w:rsid w:val="00936D25"/>
    <w:rsid w:val="00942144"/>
    <w:rsid w:val="00945AB4"/>
    <w:rsid w:val="00946D6D"/>
    <w:rsid w:val="0095211B"/>
    <w:rsid w:val="00955A0B"/>
    <w:rsid w:val="00957288"/>
    <w:rsid w:val="0095747C"/>
    <w:rsid w:val="00957A9D"/>
    <w:rsid w:val="009608C5"/>
    <w:rsid w:val="00974987"/>
    <w:rsid w:val="00980C4D"/>
    <w:rsid w:val="00982442"/>
    <w:rsid w:val="00983404"/>
    <w:rsid w:val="00985B7F"/>
    <w:rsid w:val="00990AA1"/>
    <w:rsid w:val="0099160D"/>
    <w:rsid w:val="009936F7"/>
    <w:rsid w:val="00996A0A"/>
    <w:rsid w:val="009A1526"/>
    <w:rsid w:val="009A1C94"/>
    <w:rsid w:val="009A1E3C"/>
    <w:rsid w:val="009A251E"/>
    <w:rsid w:val="009A4B4E"/>
    <w:rsid w:val="009A4D43"/>
    <w:rsid w:val="009B081F"/>
    <w:rsid w:val="009B2415"/>
    <w:rsid w:val="009B2876"/>
    <w:rsid w:val="009B2B8D"/>
    <w:rsid w:val="009B554E"/>
    <w:rsid w:val="009B72DB"/>
    <w:rsid w:val="009C37A1"/>
    <w:rsid w:val="009C570B"/>
    <w:rsid w:val="009D45A5"/>
    <w:rsid w:val="009E0B5E"/>
    <w:rsid w:val="009E4824"/>
    <w:rsid w:val="009E6B6A"/>
    <w:rsid w:val="009F042E"/>
    <w:rsid w:val="009F1F91"/>
    <w:rsid w:val="009F50A2"/>
    <w:rsid w:val="009F55E7"/>
    <w:rsid w:val="009F5646"/>
    <w:rsid w:val="009F6FC9"/>
    <w:rsid w:val="009F71AB"/>
    <w:rsid w:val="00A016C3"/>
    <w:rsid w:val="00A06342"/>
    <w:rsid w:val="00A079B4"/>
    <w:rsid w:val="00A07F81"/>
    <w:rsid w:val="00A20583"/>
    <w:rsid w:val="00A206A2"/>
    <w:rsid w:val="00A26261"/>
    <w:rsid w:val="00A263C1"/>
    <w:rsid w:val="00A30A68"/>
    <w:rsid w:val="00A31479"/>
    <w:rsid w:val="00A31958"/>
    <w:rsid w:val="00A33F8D"/>
    <w:rsid w:val="00A36256"/>
    <w:rsid w:val="00A37E77"/>
    <w:rsid w:val="00A4566F"/>
    <w:rsid w:val="00A473CD"/>
    <w:rsid w:val="00A47FC8"/>
    <w:rsid w:val="00A50DD5"/>
    <w:rsid w:val="00A54A74"/>
    <w:rsid w:val="00A57043"/>
    <w:rsid w:val="00A5749F"/>
    <w:rsid w:val="00A66CF2"/>
    <w:rsid w:val="00A714F3"/>
    <w:rsid w:val="00A72B93"/>
    <w:rsid w:val="00A73D4D"/>
    <w:rsid w:val="00A74DFE"/>
    <w:rsid w:val="00A7733E"/>
    <w:rsid w:val="00A816B8"/>
    <w:rsid w:val="00A84D71"/>
    <w:rsid w:val="00A867F6"/>
    <w:rsid w:val="00A90B50"/>
    <w:rsid w:val="00A91EE2"/>
    <w:rsid w:val="00A92776"/>
    <w:rsid w:val="00A959B4"/>
    <w:rsid w:val="00AA0E08"/>
    <w:rsid w:val="00AA0E38"/>
    <w:rsid w:val="00AA54CB"/>
    <w:rsid w:val="00AA61F8"/>
    <w:rsid w:val="00AA6DD5"/>
    <w:rsid w:val="00AB784C"/>
    <w:rsid w:val="00AC1627"/>
    <w:rsid w:val="00AC3E39"/>
    <w:rsid w:val="00AC47BC"/>
    <w:rsid w:val="00AC7590"/>
    <w:rsid w:val="00AC7696"/>
    <w:rsid w:val="00AD03A0"/>
    <w:rsid w:val="00AD101C"/>
    <w:rsid w:val="00AE4A77"/>
    <w:rsid w:val="00AE5F15"/>
    <w:rsid w:val="00AE799F"/>
    <w:rsid w:val="00AF03EE"/>
    <w:rsid w:val="00AF28FC"/>
    <w:rsid w:val="00AF42FD"/>
    <w:rsid w:val="00AF6250"/>
    <w:rsid w:val="00B07AE8"/>
    <w:rsid w:val="00B07F2E"/>
    <w:rsid w:val="00B11117"/>
    <w:rsid w:val="00B14575"/>
    <w:rsid w:val="00B14779"/>
    <w:rsid w:val="00B20918"/>
    <w:rsid w:val="00B252F4"/>
    <w:rsid w:val="00B40728"/>
    <w:rsid w:val="00B4303B"/>
    <w:rsid w:val="00B459DC"/>
    <w:rsid w:val="00B4682C"/>
    <w:rsid w:val="00B54BCA"/>
    <w:rsid w:val="00B564EF"/>
    <w:rsid w:val="00B571C5"/>
    <w:rsid w:val="00B64065"/>
    <w:rsid w:val="00B652D9"/>
    <w:rsid w:val="00B66136"/>
    <w:rsid w:val="00B66634"/>
    <w:rsid w:val="00B70A45"/>
    <w:rsid w:val="00B75602"/>
    <w:rsid w:val="00B833DA"/>
    <w:rsid w:val="00B83739"/>
    <w:rsid w:val="00B85E59"/>
    <w:rsid w:val="00B9340A"/>
    <w:rsid w:val="00B94162"/>
    <w:rsid w:val="00B949E3"/>
    <w:rsid w:val="00B964B3"/>
    <w:rsid w:val="00B96578"/>
    <w:rsid w:val="00BB44E2"/>
    <w:rsid w:val="00BB513E"/>
    <w:rsid w:val="00BB66D3"/>
    <w:rsid w:val="00BB78A2"/>
    <w:rsid w:val="00BC08E8"/>
    <w:rsid w:val="00BC2CDE"/>
    <w:rsid w:val="00BC325E"/>
    <w:rsid w:val="00BC43EA"/>
    <w:rsid w:val="00BC5F25"/>
    <w:rsid w:val="00BC7535"/>
    <w:rsid w:val="00BD129A"/>
    <w:rsid w:val="00BD1D33"/>
    <w:rsid w:val="00BD3610"/>
    <w:rsid w:val="00BD4EE5"/>
    <w:rsid w:val="00BD6FD6"/>
    <w:rsid w:val="00BE06AE"/>
    <w:rsid w:val="00BE299C"/>
    <w:rsid w:val="00BE4793"/>
    <w:rsid w:val="00BE4C0D"/>
    <w:rsid w:val="00BE6B5B"/>
    <w:rsid w:val="00BE7B96"/>
    <w:rsid w:val="00BF4287"/>
    <w:rsid w:val="00BF4657"/>
    <w:rsid w:val="00BF6339"/>
    <w:rsid w:val="00C004BF"/>
    <w:rsid w:val="00C059C8"/>
    <w:rsid w:val="00C0626D"/>
    <w:rsid w:val="00C10B47"/>
    <w:rsid w:val="00C11AE6"/>
    <w:rsid w:val="00C1276F"/>
    <w:rsid w:val="00C13106"/>
    <w:rsid w:val="00C14F19"/>
    <w:rsid w:val="00C15097"/>
    <w:rsid w:val="00C156FF"/>
    <w:rsid w:val="00C16A45"/>
    <w:rsid w:val="00C1751A"/>
    <w:rsid w:val="00C20DAB"/>
    <w:rsid w:val="00C21608"/>
    <w:rsid w:val="00C22A06"/>
    <w:rsid w:val="00C22C8F"/>
    <w:rsid w:val="00C30325"/>
    <w:rsid w:val="00C30DF3"/>
    <w:rsid w:val="00C40244"/>
    <w:rsid w:val="00C40BB1"/>
    <w:rsid w:val="00C4328A"/>
    <w:rsid w:val="00C452D6"/>
    <w:rsid w:val="00C47BFA"/>
    <w:rsid w:val="00C51577"/>
    <w:rsid w:val="00C538E6"/>
    <w:rsid w:val="00C64C7C"/>
    <w:rsid w:val="00C725C0"/>
    <w:rsid w:val="00C747F7"/>
    <w:rsid w:val="00C75B43"/>
    <w:rsid w:val="00C761B1"/>
    <w:rsid w:val="00C91E3D"/>
    <w:rsid w:val="00CA1586"/>
    <w:rsid w:val="00CA269F"/>
    <w:rsid w:val="00CA28A9"/>
    <w:rsid w:val="00CA2E51"/>
    <w:rsid w:val="00CA3701"/>
    <w:rsid w:val="00CA3C20"/>
    <w:rsid w:val="00CA40E9"/>
    <w:rsid w:val="00CA4839"/>
    <w:rsid w:val="00CA564A"/>
    <w:rsid w:val="00CB0727"/>
    <w:rsid w:val="00CB4ABD"/>
    <w:rsid w:val="00CB7743"/>
    <w:rsid w:val="00CB7DE9"/>
    <w:rsid w:val="00CC1F01"/>
    <w:rsid w:val="00CC3206"/>
    <w:rsid w:val="00CC44EC"/>
    <w:rsid w:val="00CC76AF"/>
    <w:rsid w:val="00CD2239"/>
    <w:rsid w:val="00CD596D"/>
    <w:rsid w:val="00CD67F4"/>
    <w:rsid w:val="00CD7663"/>
    <w:rsid w:val="00CE06D4"/>
    <w:rsid w:val="00CE1917"/>
    <w:rsid w:val="00CE1C6B"/>
    <w:rsid w:val="00CE249A"/>
    <w:rsid w:val="00CF21BB"/>
    <w:rsid w:val="00CF2990"/>
    <w:rsid w:val="00CF34F6"/>
    <w:rsid w:val="00CF4447"/>
    <w:rsid w:val="00CF4C5B"/>
    <w:rsid w:val="00CF6AD4"/>
    <w:rsid w:val="00CF733E"/>
    <w:rsid w:val="00D10E1E"/>
    <w:rsid w:val="00D121AA"/>
    <w:rsid w:val="00D126EA"/>
    <w:rsid w:val="00D139D8"/>
    <w:rsid w:val="00D14201"/>
    <w:rsid w:val="00D2001C"/>
    <w:rsid w:val="00D216E5"/>
    <w:rsid w:val="00D31981"/>
    <w:rsid w:val="00D40271"/>
    <w:rsid w:val="00D41BA6"/>
    <w:rsid w:val="00D423E0"/>
    <w:rsid w:val="00D43B2B"/>
    <w:rsid w:val="00D46D23"/>
    <w:rsid w:val="00D5096E"/>
    <w:rsid w:val="00D50DFE"/>
    <w:rsid w:val="00D55B1F"/>
    <w:rsid w:val="00D5659A"/>
    <w:rsid w:val="00D57079"/>
    <w:rsid w:val="00D60AA3"/>
    <w:rsid w:val="00D61413"/>
    <w:rsid w:val="00D64A51"/>
    <w:rsid w:val="00D67433"/>
    <w:rsid w:val="00D67EAE"/>
    <w:rsid w:val="00D7088D"/>
    <w:rsid w:val="00D73D99"/>
    <w:rsid w:val="00D75F27"/>
    <w:rsid w:val="00D76B10"/>
    <w:rsid w:val="00D775D3"/>
    <w:rsid w:val="00D829EB"/>
    <w:rsid w:val="00D86744"/>
    <w:rsid w:val="00D907A2"/>
    <w:rsid w:val="00D91AA4"/>
    <w:rsid w:val="00D93F32"/>
    <w:rsid w:val="00D95C9D"/>
    <w:rsid w:val="00D97D9C"/>
    <w:rsid w:val="00DA02FC"/>
    <w:rsid w:val="00DA1987"/>
    <w:rsid w:val="00DA2C63"/>
    <w:rsid w:val="00DA3CC4"/>
    <w:rsid w:val="00DA47F5"/>
    <w:rsid w:val="00DA62C5"/>
    <w:rsid w:val="00DB1ECF"/>
    <w:rsid w:val="00DB71DF"/>
    <w:rsid w:val="00DB7E24"/>
    <w:rsid w:val="00DC35EC"/>
    <w:rsid w:val="00DC5192"/>
    <w:rsid w:val="00DC52CA"/>
    <w:rsid w:val="00DC61E7"/>
    <w:rsid w:val="00DD3DA6"/>
    <w:rsid w:val="00DE0B5E"/>
    <w:rsid w:val="00DE3EBB"/>
    <w:rsid w:val="00DE52C1"/>
    <w:rsid w:val="00DF3E03"/>
    <w:rsid w:val="00DF56F8"/>
    <w:rsid w:val="00DF63D0"/>
    <w:rsid w:val="00DF6974"/>
    <w:rsid w:val="00E03A76"/>
    <w:rsid w:val="00E06B5F"/>
    <w:rsid w:val="00E07836"/>
    <w:rsid w:val="00E114F1"/>
    <w:rsid w:val="00E11F5E"/>
    <w:rsid w:val="00E15C4F"/>
    <w:rsid w:val="00E16128"/>
    <w:rsid w:val="00E20C3D"/>
    <w:rsid w:val="00E226FF"/>
    <w:rsid w:val="00E22EAA"/>
    <w:rsid w:val="00E259AF"/>
    <w:rsid w:val="00E259C4"/>
    <w:rsid w:val="00E369E9"/>
    <w:rsid w:val="00E3703F"/>
    <w:rsid w:val="00E43AB4"/>
    <w:rsid w:val="00E43C8F"/>
    <w:rsid w:val="00E44F56"/>
    <w:rsid w:val="00E450BA"/>
    <w:rsid w:val="00E45A8D"/>
    <w:rsid w:val="00E53BF7"/>
    <w:rsid w:val="00E57037"/>
    <w:rsid w:val="00E614B7"/>
    <w:rsid w:val="00E62245"/>
    <w:rsid w:val="00E64836"/>
    <w:rsid w:val="00E65E87"/>
    <w:rsid w:val="00E71981"/>
    <w:rsid w:val="00E773BE"/>
    <w:rsid w:val="00E77780"/>
    <w:rsid w:val="00E80D04"/>
    <w:rsid w:val="00E8400F"/>
    <w:rsid w:val="00E878CC"/>
    <w:rsid w:val="00E903D7"/>
    <w:rsid w:val="00E91660"/>
    <w:rsid w:val="00E944A9"/>
    <w:rsid w:val="00E966E2"/>
    <w:rsid w:val="00EA11FD"/>
    <w:rsid w:val="00EA590D"/>
    <w:rsid w:val="00EB54D9"/>
    <w:rsid w:val="00EB5729"/>
    <w:rsid w:val="00EC2B55"/>
    <w:rsid w:val="00EC4A72"/>
    <w:rsid w:val="00ED04E2"/>
    <w:rsid w:val="00ED1D7D"/>
    <w:rsid w:val="00ED3CD5"/>
    <w:rsid w:val="00ED5896"/>
    <w:rsid w:val="00EE4849"/>
    <w:rsid w:val="00EF0014"/>
    <w:rsid w:val="00EF4D7D"/>
    <w:rsid w:val="00EF7713"/>
    <w:rsid w:val="00F078D0"/>
    <w:rsid w:val="00F07D7C"/>
    <w:rsid w:val="00F15A5E"/>
    <w:rsid w:val="00F21890"/>
    <w:rsid w:val="00F22EF4"/>
    <w:rsid w:val="00F24FE0"/>
    <w:rsid w:val="00F2518F"/>
    <w:rsid w:val="00F25588"/>
    <w:rsid w:val="00F272EC"/>
    <w:rsid w:val="00F27DF1"/>
    <w:rsid w:val="00F27EEE"/>
    <w:rsid w:val="00F36BD9"/>
    <w:rsid w:val="00F46137"/>
    <w:rsid w:val="00F50900"/>
    <w:rsid w:val="00F53677"/>
    <w:rsid w:val="00F538F7"/>
    <w:rsid w:val="00F53C9B"/>
    <w:rsid w:val="00F628E6"/>
    <w:rsid w:val="00F65D32"/>
    <w:rsid w:val="00F66465"/>
    <w:rsid w:val="00F703EA"/>
    <w:rsid w:val="00F74432"/>
    <w:rsid w:val="00F768DA"/>
    <w:rsid w:val="00F82EC8"/>
    <w:rsid w:val="00F84A41"/>
    <w:rsid w:val="00F903AD"/>
    <w:rsid w:val="00F914C4"/>
    <w:rsid w:val="00F94362"/>
    <w:rsid w:val="00F953F0"/>
    <w:rsid w:val="00F97534"/>
    <w:rsid w:val="00F977FE"/>
    <w:rsid w:val="00F97EE1"/>
    <w:rsid w:val="00FA0852"/>
    <w:rsid w:val="00FA312F"/>
    <w:rsid w:val="00FA3FAD"/>
    <w:rsid w:val="00FA5C2D"/>
    <w:rsid w:val="00FA7A87"/>
    <w:rsid w:val="00FB3703"/>
    <w:rsid w:val="00FB3AE4"/>
    <w:rsid w:val="00FB6896"/>
    <w:rsid w:val="00FB7FA6"/>
    <w:rsid w:val="00FC0583"/>
    <w:rsid w:val="00FC0B7D"/>
    <w:rsid w:val="00FC39A9"/>
    <w:rsid w:val="00FC5783"/>
    <w:rsid w:val="00FC5E2A"/>
    <w:rsid w:val="00FC71A0"/>
    <w:rsid w:val="00FE26B6"/>
    <w:rsid w:val="00FE62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f">
      <v:fill color="#9cf"/>
    </o:shapedefaults>
    <o:shapelayout v:ext="edit">
      <o:idmap v:ext="edit" data="1"/>
    </o:shapelayout>
  </w:shapeDefaults>
  <w:decimalSymbol w:val=","/>
  <w:listSeparator w:val=";"/>
  <w15:docId w15:val="{B5E855D6-72D7-4DED-BC98-6AD44295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2">
    <w:name w:val="heading 2"/>
    <w:basedOn w:val="Normal"/>
    <w:next w:val="Normal"/>
    <w:link w:val="Heading2Char"/>
    <w:qFormat/>
    <w:rsid w:val="00ED1D7D"/>
    <w:pPr>
      <w:keepNext/>
      <w:numPr>
        <w:ilvl w:val="1"/>
        <w:numId w:val="13"/>
      </w:numPr>
      <w:outlineLvl w:val="1"/>
    </w:pPr>
    <w:rPr>
      <w:b/>
      <w:bCs/>
      <w:noProof/>
      <w:lang w:val="en-GB"/>
    </w:rPr>
  </w:style>
  <w:style w:type="paragraph" w:styleId="Heading3">
    <w:name w:val="heading 3"/>
    <w:basedOn w:val="Normal"/>
    <w:next w:val="Normal"/>
    <w:link w:val="Heading3Char"/>
    <w:qFormat/>
    <w:rsid w:val="00ED1D7D"/>
    <w:pPr>
      <w:keepNext/>
      <w:numPr>
        <w:ilvl w:val="2"/>
        <w:numId w:val="13"/>
      </w:numPr>
      <w:spacing w:before="240" w:after="60"/>
      <w:outlineLvl w:val="2"/>
    </w:pPr>
    <w:rPr>
      <w:rFonts w:ascii="Arial" w:hAnsi="Arial"/>
      <w:b/>
      <w:bCs/>
      <w:noProof/>
      <w:sz w:val="26"/>
      <w:szCs w:val="26"/>
      <w:lang w:val="en-GB"/>
    </w:rPr>
  </w:style>
  <w:style w:type="paragraph" w:styleId="Heading4">
    <w:name w:val="heading 4"/>
    <w:basedOn w:val="Normal"/>
    <w:next w:val="Normal"/>
    <w:link w:val="Heading4Char"/>
    <w:qFormat/>
    <w:rsid w:val="00ED1D7D"/>
    <w:pPr>
      <w:keepNext/>
      <w:numPr>
        <w:ilvl w:val="3"/>
        <w:numId w:val="13"/>
      </w:numPr>
      <w:spacing w:before="240" w:after="60"/>
      <w:outlineLvl w:val="3"/>
    </w:pPr>
    <w:rPr>
      <w:b/>
      <w:bCs/>
      <w:noProof/>
      <w:sz w:val="28"/>
      <w:szCs w:val="28"/>
      <w:lang w:val="en-GB"/>
    </w:rPr>
  </w:style>
  <w:style w:type="paragraph" w:styleId="Heading5">
    <w:name w:val="heading 5"/>
    <w:basedOn w:val="Normal"/>
    <w:next w:val="Normal"/>
    <w:link w:val="Heading5Char"/>
    <w:qFormat/>
    <w:rsid w:val="00ED1D7D"/>
    <w:pPr>
      <w:numPr>
        <w:ilvl w:val="4"/>
        <w:numId w:val="13"/>
      </w:numPr>
      <w:spacing w:before="240" w:after="60"/>
      <w:outlineLvl w:val="4"/>
    </w:pPr>
    <w:rPr>
      <w:b/>
      <w:bCs/>
      <w:i/>
      <w:iCs/>
      <w:noProof/>
      <w:sz w:val="26"/>
      <w:szCs w:val="26"/>
      <w:lang w:val="en-GB"/>
    </w:rPr>
  </w:style>
  <w:style w:type="paragraph" w:styleId="Heading6">
    <w:name w:val="heading 6"/>
    <w:aliases w:val="Numbered - 6"/>
    <w:basedOn w:val="Normal"/>
    <w:next w:val="Normal"/>
    <w:link w:val="Heading6Char"/>
    <w:qFormat/>
    <w:rsid w:val="00ED1D7D"/>
    <w:pPr>
      <w:numPr>
        <w:ilvl w:val="5"/>
        <w:numId w:val="13"/>
      </w:numPr>
      <w:spacing w:before="240" w:after="60"/>
      <w:outlineLvl w:val="5"/>
    </w:pPr>
    <w:rPr>
      <w:b/>
      <w:bCs/>
      <w:noProof/>
      <w:sz w:val="22"/>
      <w:szCs w:val="22"/>
      <w:lang w:val="en-GB"/>
    </w:rPr>
  </w:style>
  <w:style w:type="paragraph" w:styleId="Heading7">
    <w:name w:val="heading 7"/>
    <w:basedOn w:val="Normal"/>
    <w:next w:val="Normal"/>
    <w:link w:val="Heading7Char"/>
    <w:qFormat/>
    <w:rsid w:val="00ED1D7D"/>
    <w:pPr>
      <w:numPr>
        <w:ilvl w:val="6"/>
        <w:numId w:val="13"/>
      </w:numPr>
      <w:spacing w:before="240" w:after="60"/>
      <w:outlineLvl w:val="6"/>
    </w:pPr>
    <w:rPr>
      <w:noProof/>
      <w:lang w:val="en-GB"/>
    </w:rPr>
  </w:style>
  <w:style w:type="paragraph" w:styleId="Heading8">
    <w:name w:val="heading 8"/>
    <w:basedOn w:val="Normal"/>
    <w:next w:val="Normal"/>
    <w:link w:val="Heading8Char"/>
    <w:qFormat/>
    <w:rsid w:val="00ED1D7D"/>
    <w:pPr>
      <w:numPr>
        <w:ilvl w:val="7"/>
        <w:numId w:val="13"/>
      </w:numPr>
      <w:spacing w:before="240" w:after="60"/>
      <w:outlineLvl w:val="7"/>
    </w:pPr>
    <w:rPr>
      <w:i/>
      <w:iCs/>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aracterCaracterCharCharChar">
    <w:name w:val="Char Caracter Caracter Char Char Char"/>
    <w:basedOn w:val="Normal"/>
    <w:rsid w:val="00F24FE0"/>
    <w:rPr>
      <w:lang w:val="pl-PL" w:eastAsia="pl-PL"/>
    </w:rPr>
  </w:style>
  <w:style w:type="paragraph" w:styleId="Header">
    <w:name w:val="header"/>
    <w:basedOn w:val="Normal"/>
    <w:link w:val="HeaderChar"/>
    <w:uiPriority w:val="99"/>
    <w:rsid w:val="002C2714"/>
    <w:pPr>
      <w:tabs>
        <w:tab w:val="center" w:pos="4320"/>
        <w:tab w:val="right" w:pos="8640"/>
      </w:tabs>
    </w:pPr>
  </w:style>
  <w:style w:type="paragraph" w:styleId="Footer">
    <w:name w:val="footer"/>
    <w:basedOn w:val="Normal"/>
    <w:link w:val="FooterChar"/>
    <w:uiPriority w:val="99"/>
    <w:rsid w:val="002C2714"/>
    <w:pPr>
      <w:tabs>
        <w:tab w:val="center" w:pos="4320"/>
        <w:tab w:val="right" w:pos="8640"/>
      </w:tabs>
    </w:pPr>
  </w:style>
  <w:style w:type="paragraph" w:styleId="BalloonText">
    <w:name w:val="Balloon Text"/>
    <w:basedOn w:val="Normal"/>
    <w:link w:val="BalloonTextChar"/>
    <w:rsid w:val="00457A24"/>
    <w:rPr>
      <w:rFonts w:ascii="Tahoma" w:hAnsi="Tahoma"/>
      <w:sz w:val="16"/>
      <w:szCs w:val="16"/>
    </w:rPr>
  </w:style>
  <w:style w:type="character" w:customStyle="1" w:styleId="BalloonTextChar">
    <w:name w:val="Balloon Text Char"/>
    <w:link w:val="BalloonText"/>
    <w:rsid w:val="00457A24"/>
    <w:rPr>
      <w:rFonts w:ascii="Tahoma" w:hAnsi="Tahoma" w:cs="Tahoma"/>
      <w:sz w:val="16"/>
      <w:szCs w:val="16"/>
      <w:lang w:val="en-US" w:eastAsia="en-US"/>
    </w:rPr>
  </w:style>
  <w:style w:type="character" w:customStyle="1" w:styleId="Heading2Char">
    <w:name w:val="Heading 2 Char"/>
    <w:link w:val="Heading2"/>
    <w:rsid w:val="00ED1D7D"/>
    <w:rPr>
      <w:b/>
      <w:bCs/>
      <w:noProof/>
      <w:sz w:val="24"/>
      <w:szCs w:val="24"/>
      <w:lang w:val="en-GB" w:eastAsia="en-US"/>
    </w:rPr>
  </w:style>
  <w:style w:type="character" w:customStyle="1" w:styleId="Heading3Char">
    <w:name w:val="Heading 3 Char"/>
    <w:link w:val="Heading3"/>
    <w:rsid w:val="00ED1D7D"/>
    <w:rPr>
      <w:rFonts w:ascii="Arial" w:hAnsi="Arial" w:cs="Arial"/>
      <w:b/>
      <w:bCs/>
      <w:noProof/>
      <w:sz w:val="26"/>
      <w:szCs w:val="26"/>
      <w:lang w:val="en-GB" w:eastAsia="en-US"/>
    </w:rPr>
  </w:style>
  <w:style w:type="character" w:customStyle="1" w:styleId="Heading4Char">
    <w:name w:val="Heading 4 Char"/>
    <w:link w:val="Heading4"/>
    <w:rsid w:val="00ED1D7D"/>
    <w:rPr>
      <w:b/>
      <w:bCs/>
      <w:noProof/>
      <w:sz w:val="28"/>
      <w:szCs w:val="28"/>
      <w:lang w:val="en-GB" w:eastAsia="en-US"/>
    </w:rPr>
  </w:style>
  <w:style w:type="character" w:customStyle="1" w:styleId="Heading5Char">
    <w:name w:val="Heading 5 Char"/>
    <w:link w:val="Heading5"/>
    <w:rsid w:val="00ED1D7D"/>
    <w:rPr>
      <w:b/>
      <w:bCs/>
      <w:i/>
      <w:iCs/>
      <w:noProof/>
      <w:sz w:val="26"/>
      <w:szCs w:val="26"/>
      <w:lang w:val="en-GB" w:eastAsia="en-US"/>
    </w:rPr>
  </w:style>
  <w:style w:type="character" w:customStyle="1" w:styleId="Heading6Char">
    <w:name w:val="Heading 6 Char"/>
    <w:aliases w:val="Numbered - 6 Char"/>
    <w:link w:val="Heading6"/>
    <w:rsid w:val="00ED1D7D"/>
    <w:rPr>
      <w:b/>
      <w:bCs/>
      <w:noProof/>
      <w:sz w:val="22"/>
      <w:szCs w:val="22"/>
      <w:lang w:val="en-GB" w:eastAsia="en-US"/>
    </w:rPr>
  </w:style>
  <w:style w:type="character" w:customStyle="1" w:styleId="Heading7Char">
    <w:name w:val="Heading 7 Char"/>
    <w:link w:val="Heading7"/>
    <w:rsid w:val="00ED1D7D"/>
    <w:rPr>
      <w:noProof/>
      <w:sz w:val="24"/>
      <w:szCs w:val="24"/>
      <w:lang w:val="en-GB" w:eastAsia="en-US"/>
    </w:rPr>
  </w:style>
  <w:style w:type="character" w:customStyle="1" w:styleId="Heading8Char">
    <w:name w:val="Heading 8 Char"/>
    <w:link w:val="Heading8"/>
    <w:rsid w:val="00ED1D7D"/>
    <w:rPr>
      <w:i/>
      <w:iCs/>
      <w:noProof/>
      <w:sz w:val="24"/>
      <w:szCs w:val="24"/>
      <w:lang w:val="en-GB" w:eastAsia="en-US"/>
    </w:rPr>
  </w:style>
  <w:style w:type="paragraph" w:customStyle="1" w:styleId="broodtekst">
    <w:name w:val="broodtekst"/>
    <w:basedOn w:val="Normal"/>
    <w:link w:val="broodtekstChar"/>
    <w:uiPriority w:val="99"/>
    <w:qFormat/>
    <w:rsid w:val="00ED1D7D"/>
    <w:pPr>
      <w:spacing w:line="280" w:lineRule="atLeast"/>
    </w:pPr>
    <w:rPr>
      <w:rFonts w:ascii="Arial" w:eastAsia="Calibri" w:hAnsi="Arial"/>
      <w:noProof/>
      <w:lang w:val="en-GB" w:eastAsia="nl-NL"/>
    </w:rPr>
  </w:style>
  <w:style w:type="character" w:customStyle="1" w:styleId="broodtekstChar">
    <w:name w:val="broodtekst Char"/>
    <w:link w:val="broodtekst"/>
    <w:uiPriority w:val="99"/>
    <w:locked/>
    <w:rsid w:val="00ED1D7D"/>
    <w:rPr>
      <w:rFonts w:ascii="Arial" w:eastAsia="Calibri" w:hAnsi="Arial"/>
      <w:noProof/>
      <w:sz w:val="24"/>
      <w:szCs w:val="24"/>
      <w:lang w:val="en-GB" w:eastAsia="nl-NL"/>
    </w:rPr>
  </w:style>
  <w:style w:type="table" w:styleId="TableGrid">
    <w:name w:val="Table Grid"/>
    <w:basedOn w:val="TableNormal"/>
    <w:uiPriority w:val="59"/>
    <w:rsid w:val="00ED1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D1D7D"/>
    <w:pPr>
      <w:ind w:left="720"/>
      <w:contextualSpacing/>
    </w:pPr>
    <w:rPr>
      <w:noProof/>
      <w:lang w:val="en-GB"/>
    </w:rPr>
  </w:style>
  <w:style w:type="character" w:customStyle="1" w:styleId="HeaderChar">
    <w:name w:val="Header Char"/>
    <w:link w:val="Header"/>
    <w:uiPriority w:val="99"/>
    <w:rsid w:val="00ED1D7D"/>
    <w:rPr>
      <w:sz w:val="24"/>
      <w:szCs w:val="24"/>
      <w:lang w:val="en-US" w:eastAsia="en-US"/>
    </w:rPr>
  </w:style>
  <w:style w:type="character" w:customStyle="1" w:styleId="FooterChar">
    <w:name w:val="Footer Char"/>
    <w:link w:val="Footer"/>
    <w:uiPriority w:val="99"/>
    <w:rsid w:val="00ED1D7D"/>
    <w:rPr>
      <w:sz w:val="24"/>
      <w:szCs w:val="24"/>
      <w:lang w:val="en-US" w:eastAsia="en-US"/>
    </w:rPr>
  </w:style>
  <w:style w:type="character" w:customStyle="1" w:styleId="ListParagraphChar">
    <w:name w:val="List Paragraph Char"/>
    <w:link w:val="ListParagraph"/>
    <w:uiPriority w:val="34"/>
    <w:locked/>
    <w:rsid w:val="00ED1D7D"/>
    <w:rPr>
      <w:noProof/>
      <w:sz w:val="24"/>
      <w:szCs w:val="24"/>
      <w:lang w:val="en-GB" w:eastAsia="en-US"/>
    </w:rPr>
  </w:style>
  <w:style w:type="character" w:styleId="Hyperlink">
    <w:name w:val="Hyperlink"/>
    <w:rsid w:val="00E65E87"/>
    <w:rPr>
      <w:color w:val="0000FF"/>
      <w:u w:val="single"/>
    </w:rPr>
  </w:style>
  <w:style w:type="character" w:styleId="CommentReference">
    <w:name w:val="annotation reference"/>
    <w:basedOn w:val="DefaultParagraphFont"/>
    <w:rsid w:val="00BE299C"/>
    <w:rPr>
      <w:sz w:val="16"/>
      <w:szCs w:val="16"/>
    </w:rPr>
  </w:style>
  <w:style w:type="paragraph" w:styleId="CommentText">
    <w:name w:val="annotation text"/>
    <w:basedOn w:val="Normal"/>
    <w:link w:val="CommentTextChar"/>
    <w:rsid w:val="00BE299C"/>
    <w:rPr>
      <w:sz w:val="20"/>
      <w:szCs w:val="20"/>
    </w:rPr>
  </w:style>
  <w:style w:type="character" w:customStyle="1" w:styleId="CommentTextChar">
    <w:name w:val="Comment Text Char"/>
    <w:basedOn w:val="DefaultParagraphFont"/>
    <w:link w:val="CommentText"/>
    <w:rsid w:val="00BE299C"/>
    <w:rPr>
      <w:lang w:val="en-US" w:eastAsia="en-US"/>
    </w:rPr>
  </w:style>
  <w:style w:type="paragraph" w:styleId="CommentSubject">
    <w:name w:val="annotation subject"/>
    <w:basedOn w:val="CommentText"/>
    <w:next w:val="CommentText"/>
    <w:link w:val="CommentSubjectChar"/>
    <w:rsid w:val="00BE299C"/>
    <w:rPr>
      <w:b/>
      <w:bCs/>
    </w:rPr>
  </w:style>
  <w:style w:type="character" w:customStyle="1" w:styleId="CommentSubjectChar">
    <w:name w:val="Comment Subject Char"/>
    <w:basedOn w:val="CommentTextChar"/>
    <w:link w:val="CommentSubject"/>
    <w:rsid w:val="00BE299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44001">
      <w:bodyDiv w:val="1"/>
      <w:marLeft w:val="0"/>
      <w:marRight w:val="0"/>
      <w:marTop w:val="0"/>
      <w:marBottom w:val="0"/>
      <w:divBdr>
        <w:top w:val="none" w:sz="0" w:space="0" w:color="auto"/>
        <w:left w:val="none" w:sz="0" w:space="0" w:color="auto"/>
        <w:bottom w:val="none" w:sz="0" w:space="0" w:color="auto"/>
        <w:right w:val="none" w:sz="0" w:space="0" w:color="auto"/>
      </w:divBdr>
    </w:div>
    <w:div w:id="1141267614">
      <w:bodyDiv w:val="1"/>
      <w:marLeft w:val="0"/>
      <w:marRight w:val="0"/>
      <w:marTop w:val="0"/>
      <w:marBottom w:val="0"/>
      <w:divBdr>
        <w:top w:val="none" w:sz="0" w:space="0" w:color="auto"/>
        <w:left w:val="none" w:sz="0" w:space="0" w:color="auto"/>
        <w:bottom w:val="none" w:sz="0" w:space="0" w:color="auto"/>
        <w:right w:val="none" w:sz="0" w:space="0" w:color="auto"/>
      </w:divBdr>
      <w:divsChild>
        <w:div w:id="230820356">
          <w:marLeft w:val="0"/>
          <w:marRight w:val="0"/>
          <w:marTop w:val="0"/>
          <w:marBottom w:val="0"/>
          <w:divBdr>
            <w:top w:val="none" w:sz="0" w:space="0" w:color="auto"/>
            <w:left w:val="none" w:sz="0" w:space="0" w:color="auto"/>
            <w:bottom w:val="none" w:sz="0" w:space="0" w:color="auto"/>
            <w:right w:val="none" w:sz="0" w:space="0" w:color="auto"/>
          </w:divBdr>
          <w:divsChild>
            <w:div w:id="39879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medi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33180-7055-4CF7-A7FD-E94AFBEA7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3134</Words>
  <Characters>18179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IGSU</Company>
  <LinksUpToDate>false</LinksUpToDate>
  <CharactersWithSpaces>21271</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2ionut.radu</dc:creator>
  <cp:lastModifiedBy>Monica Elena Cristea</cp:lastModifiedBy>
  <cp:revision>2</cp:revision>
  <cp:lastPrinted>2015-05-19T05:28:00Z</cp:lastPrinted>
  <dcterms:created xsi:type="dcterms:W3CDTF">2016-10-24T12:07:00Z</dcterms:created>
  <dcterms:modified xsi:type="dcterms:W3CDTF">2016-10-24T12:07:00Z</dcterms:modified>
</cp:coreProperties>
</file>